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o usvajanju Plana i programa rada DOO "Vodov</w:t>
      </w:r>
      <w:r>
        <w:rPr>
          <w:rFonts w:ascii="Arial" w:hAnsi="Arial" w:cs="Arial"/>
          <w:b/>
          <w:sz w:val="24"/>
          <w:szCs w:val="24"/>
        </w:rPr>
        <w:t>od i kanalizacija"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se Plan i program rada DOO "Vodov</w:t>
      </w:r>
      <w:r>
        <w:rPr>
          <w:rFonts w:ascii="Arial" w:hAnsi="Arial" w:cs="Arial"/>
          <w:sz w:val="24"/>
          <w:szCs w:val="24"/>
        </w:rPr>
        <w:t>od i kanalizacija" Tivat za 2019</w:t>
      </w:r>
      <w:r w:rsidRPr="000A61D5">
        <w:rPr>
          <w:rFonts w:ascii="Arial" w:hAnsi="Arial" w:cs="Arial"/>
          <w:sz w:val="24"/>
          <w:szCs w:val="24"/>
        </w:rPr>
        <w:t>.godinu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Broj: 0304-030-409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</cp:revision>
  <dcterms:created xsi:type="dcterms:W3CDTF">2018-12-24T08:44:00Z</dcterms:created>
  <dcterms:modified xsi:type="dcterms:W3CDTF">2018-12-24T08:48:00Z</dcterms:modified>
</cp:coreProperties>
</file>