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E" w:rsidRPr="005548BE" w:rsidRDefault="0093644E" w:rsidP="0093644E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 w:rsidRPr="005548BE">
        <w:rPr>
          <w:rFonts w:cs="Arial"/>
          <w:b/>
          <w:sz w:val="28"/>
          <w:szCs w:val="28"/>
        </w:rPr>
        <w:t>SKUPŠTINA OPŠTINE TIVAT</w:t>
      </w:r>
    </w:p>
    <w:p w:rsidR="0093644E" w:rsidRPr="005548BE" w:rsidRDefault="0093644E" w:rsidP="0093644E">
      <w:pPr>
        <w:spacing w:after="0"/>
        <w:rPr>
          <w:rFonts w:cs="Arial"/>
          <w:b/>
          <w:sz w:val="28"/>
          <w:szCs w:val="28"/>
        </w:rPr>
      </w:pPr>
      <w:r w:rsidRPr="005548BE">
        <w:rPr>
          <w:rFonts w:cs="Arial"/>
          <w:b/>
          <w:sz w:val="28"/>
          <w:szCs w:val="28"/>
        </w:rPr>
        <w:t>Etička komisija za lokalne službenike i namještenike</w:t>
      </w:r>
    </w:p>
    <w:p w:rsidR="0093644E" w:rsidRPr="005548BE" w:rsidRDefault="0093644E" w:rsidP="0093644E">
      <w:pPr>
        <w:spacing w:after="0"/>
        <w:rPr>
          <w:rFonts w:cs="Arial"/>
          <w:sz w:val="28"/>
          <w:szCs w:val="28"/>
        </w:rPr>
      </w:pPr>
      <w:r w:rsidRPr="005548BE">
        <w:rPr>
          <w:rFonts w:cs="Arial"/>
          <w:sz w:val="28"/>
          <w:szCs w:val="28"/>
        </w:rPr>
        <w:t>Broj: 0305 –</w:t>
      </w:r>
      <w:r w:rsidR="00DF3D1B">
        <w:rPr>
          <w:rFonts w:cs="Arial"/>
          <w:sz w:val="28"/>
          <w:szCs w:val="28"/>
        </w:rPr>
        <w:t xml:space="preserve"> 114-137</w:t>
      </w:r>
      <w:r w:rsidRPr="005548BE">
        <w:rPr>
          <w:rFonts w:cs="Arial"/>
          <w:sz w:val="28"/>
          <w:szCs w:val="28"/>
        </w:rPr>
        <w:t xml:space="preserve"> </w:t>
      </w:r>
    </w:p>
    <w:p w:rsidR="0093644E" w:rsidRPr="005548BE" w:rsidRDefault="0093644E" w:rsidP="0093644E">
      <w:pPr>
        <w:spacing w:after="0"/>
        <w:rPr>
          <w:rFonts w:cs="Arial"/>
          <w:sz w:val="28"/>
          <w:szCs w:val="28"/>
        </w:rPr>
      </w:pPr>
      <w:r w:rsidRPr="005548BE">
        <w:rPr>
          <w:rFonts w:cs="Arial"/>
          <w:sz w:val="28"/>
          <w:szCs w:val="28"/>
        </w:rPr>
        <w:t>Tivat, 17.05 2016  godine</w:t>
      </w:r>
    </w:p>
    <w:p w:rsidR="0093644E" w:rsidRPr="005548BE" w:rsidRDefault="0093644E" w:rsidP="0093644E">
      <w:pPr>
        <w:jc w:val="center"/>
        <w:rPr>
          <w:rFonts w:cs="Arial"/>
          <w:b/>
          <w:sz w:val="28"/>
          <w:szCs w:val="28"/>
          <w:u w:val="single"/>
        </w:rPr>
      </w:pPr>
      <w:r w:rsidRPr="005548BE">
        <w:rPr>
          <w:rFonts w:cs="Arial"/>
          <w:b/>
          <w:sz w:val="28"/>
          <w:szCs w:val="28"/>
          <w:u w:val="single"/>
        </w:rPr>
        <w:t xml:space="preserve">IZVJEŠTAJ   O RADU </w:t>
      </w:r>
    </w:p>
    <w:p w:rsidR="0093644E" w:rsidRPr="005548BE" w:rsidRDefault="0093644E" w:rsidP="0093644E">
      <w:pPr>
        <w:jc w:val="center"/>
        <w:rPr>
          <w:rFonts w:cs="Arial"/>
          <w:b/>
          <w:sz w:val="28"/>
          <w:szCs w:val="28"/>
          <w:u w:val="single"/>
        </w:rPr>
      </w:pPr>
      <w:r w:rsidRPr="005548BE">
        <w:rPr>
          <w:rFonts w:cs="Arial"/>
          <w:b/>
          <w:sz w:val="28"/>
          <w:szCs w:val="28"/>
          <w:u w:val="single"/>
        </w:rPr>
        <w:t>ETIČKE KOMISIJE ZA LOKALNE  SLUŽBENIKE I NAMJEŠTENIKE  ZA 2015. GODINU</w:t>
      </w:r>
    </w:p>
    <w:p w:rsidR="0093644E" w:rsidRPr="005548BE" w:rsidRDefault="0093644E" w:rsidP="0093644E">
      <w:pPr>
        <w:jc w:val="center"/>
        <w:rPr>
          <w:rFonts w:cs="Arial"/>
          <w:b/>
          <w:sz w:val="28"/>
          <w:szCs w:val="28"/>
        </w:rPr>
      </w:pPr>
    </w:p>
    <w:p w:rsidR="0093644E" w:rsidRPr="005548BE" w:rsidRDefault="0093644E" w:rsidP="0093644E">
      <w:pPr>
        <w:shd w:val="clear" w:color="auto" w:fill="FFFFFF"/>
        <w:spacing w:line="270" w:lineRule="atLeast"/>
        <w:jc w:val="both"/>
        <w:rPr>
          <w:rFonts w:eastAsia="Times New Roman" w:cs="Arial"/>
          <w:color w:val="3E3E3E"/>
          <w:sz w:val="28"/>
          <w:szCs w:val="28"/>
        </w:rPr>
      </w:pPr>
      <w:r w:rsidRPr="005548BE">
        <w:rPr>
          <w:rFonts w:cs="Arial"/>
          <w:sz w:val="28"/>
          <w:szCs w:val="28"/>
        </w:rPr>
        <w:t xml:space="preserve">Etička komisija za lokalne službenike i namještenike u Opštini Tivat (u daljem tekstu Komisija) imenovana je na 19. sjednici 29.12.2011. godine Skupštine opštine Tivat,  a  od 25. jula mjeseca 2013 godine Etička komisija za lokalne službenike i namještenike (u daljem tekstu Komisija) funkcioniše u </w:t>
      </w:r>
      <w:r w:rsidRPr="005548BE">
        <w:rPr>
          <w:rFonts w:eastAsia="Times New Roman" w:cs="Arial"/>
          <w:color w:val="3E3E3E"/>
          <w:sz w:val="28"/>
          <w:szCs w:val="28"/>
        </w:rPr>
        <w:t>slijedećem sastavu:</w:t>
      </w:r>
    </w:p>
    <w:p w:rsidR="0093644E" w:rsidRPr="005548BE" w:rsidRDefault="0093644E" w:rsidP="0093644E">
      <w:pPr>
        <w:shd w:val="clear" w:color="auto" w:fill="FFFFFF"/>
        <w:spacing w:after="0" w:line="270" w:lineRule="atLeast"/>
        <w:rPr>
          <w:rFonts w:eastAsia="Times New Roman" w:cs="Arial"/>
          <w:color w:val="3E3E3E"/>
          <w:sz w:val="28"/>
          <w:szCs w:val="28"/>
        </w:rPr>
      </w:pPr>
      <w:r w:rsidRPr="005548BE">
        <w:rPr>
          <w:rFonts w:eastAsia="Times New Roman" w:cs="Arial"/>
          <w:color w:val="3E3E3E"/>
          <w:sz w:val="28"/>
          <w:szCs w:val="28"/>
        </w:rPr>
        <w:br/>
        <w:t>                 </w:t>
      </w:r>
      <w:r w:rsidR="005548BE" w:rsidRPr="005548BE">
        <w:rPr>
          <w:rFonts w:eastAsia="Times New Roman" w:cs="Arial"/>
          <w:color w:val="3E3E3E"/>
          <w:sz w:val="28"/>
          <w:szCs w:val="28"/>
        </w:rPr>
        <w:t>                          1. mr</w:t>
      </w:r>
      <w:r w:rsidRPr="005548BE">
        <w:rPr>
          <w:rFonts w:eastAsia="Times New Roman" w:cs="Arial"/>
          <w:color w:val="3E3E3E"/>
          <w:sz w:val="28"/>
          <w:szCs w:val="28"/>
        </w:rPr>
        <w:t xml:space="preserve"> Darka  Ognjanović, Predsjednica</w:t>
      </w:r>
      <w:r w:rsidRPr="005548BE">
        <w:rPr>
          <w:rFonts w:eastAsia="Times New Roman" w:cs="Arial"/>
          <w:color w:val="3E3E3E"/>
          <w:sz w:val="28"/>
          <w:szCs w:val="28"/>
        </w:rPr>
        <w:br/>
        <w:t>                                           2. Slavica Vulanović, članica</w:t>
      </w:r>
      <w:r w:rsidRPr="005548BE">
        <w:rPr>
          <w:rFonts w:eastAsia="Times New Roman" w:cs="Arial"/>
          <w:color w:val="3E3E3E"/>
          <w:sz w:val="28"/>
          <w:szCs w:val="28"/>
        </w:rPr>
        <w:br/>
        <w:t>                                           3. Sonja Štilet, članica</w:t>
      </w:r>
      <w:r w:rsidRPr="005548BE">
        <w:rPr>
          <w:rFonts w:eastAsia="Times New Roman" w:cs="Arial"/>
          <w:color w:val="3E3E3E"/>
          <w:sz w:val="28"/>
          <w:szCs w:val="28"/>
        </w:rPr>
        <w:br/>
        <w:t>                                           4. Tanja Bakalbašić, članica</w:t>
      </w:r>
      <w:r w:rsidRPr="005548BE">
        <w:rPr>
          <w:rFonts w:eastAsia="Times New Roman" w:cs="Arial"/>
          <w:color w:val="3E3E3E"/>
          <w:sz w:val="28"/>
          <w:szCs w:val="28"/>
        </w:rPr>
        <w:br/>
        <w:t>                                           5. Tatjana Vučinović, članica</w:t>
      </w:r>
    </w:p>
    <w:p w:rsidR="0093644E" w:rsidRPr="005548BE" w:rsidRDefault="0093644E" w:rsidP="0093644E">
      <w:pPr>
        <w:jc w:val="both"/>
        <w:rPr>
          <w:rFonts w:cs="Arial"/>
          <w:sz w:val="28"/>
          <w:szCs w:val="28"/>
        </w:rPr>
      </w:pPr>
    </w:p>
    <w:p w:rsidR="00EB1955" w:rsidRPr="005548BE" w:rsidRDefault="0093644E" w:rsidP="0093644E">
      <w:pPr>
        <w:jc w:val="both"/>
        <w:rPr>
          <w:rFonts w:cs="Arial"/>
          <w:sz w:val="28"/>
          <w:szCs w:val="28"/>
        </w:rPr>
      </w:pPr>
      <w:r w:rsidRPr="005548BE">
        <w:rPr>
          <w:rFonts w:cs="Arial"/>
          <w:sz w:val="28"/>
          <w:szCs w:val="28"/>
        </w:rPr>
        <w:t>Komisija u ovom sastavu je  u</w:t>
      </w:r>
      <w:r w:rsidR="00EB1955" w:rsidRPr="005548BE">
        <w:rPr>
          <w:rFonts w:cs="Arial"/>
          <w:sz w:val="28"/>
          <w:szCs w:val="28"/>
        </w:rPr>
        <w:t xml:space="preserve">  2015.g. održala  6 </w:t>
      </w:r>
      <w:r w:rsidRPr="005548BE">
        <w:rPr>
          <w:rFonts w:cs="Arial"/>
          <w:sz w:val="28"/>
          <w:szCs w:val="28"/>
        </w:rPr>
        <w:t xml:space="preserve">sjednica </w:t>
      </w:r>
      <w:r w:rsidR="00EB1955" w:rsidRPr="005548BE">
        <w:rPr>
          <w:rFonts w:cs="Arial"/>
          <w:sz w:val="28"/>
          <w:szCs w:val="28"/>
        </w:rPr>
        <w:t>, 7 posjeta institucijama, 11 sastanaka i 7 obilazaka kutija za pritužbe.</w:t>
      </w:r>
    </w:p>
    <w:p w:rsidR="0093644E" w:rsidRPr="005548BE" w:rsidRDefault="0093644E" w:rsidP="0093644E">
      <w:pPr>
        <w:jc w:val="both"/>
        <w:rPr>
          <w:rFonts w:cs="Arial"/>
          <w:sz w:val="28"/>
          <w:szCs w:val="28"/>
        </w:rPr>
      </w:pPr>
      <w:r w:rsidRPr="005548BE">
        <w:rPr>
          <w:rFonts w:cs="Arial"/>
          <w:sz w:val="28"/>
          <w:szCs w:val="28"/>
        </w:rPr>
        <w:t>Informacija  o radu Komisije za 2014 godinu je prihvaćena bez primjedbi na sjednici Skupštine opštine Tivat .</w:t>
      </w:r>
    </w:p>
    <w:p w:rsidR="0093644E" w:rsidRPr="005548BE" w:rsidRDefault="0093644E" w:rsidP="005548BE">
      <w:pPr>
        <w:rPr>
          <w:rFonts w:cs="Arial"/>
          <w:sz w:val="28"/>
          <w:szCs w:val="28"/>
        </w:rPr>
      </w:pPr>
      <w:r w:rsidRPr="005548BE">
        <w:rPr>
          <w:rFonts w:cs="Arial"/>
          <w:sz w:val="28"/>
          <w:szCs w:val="28"/>
        </w:rPr>
        <w:t xml:space="preserve">Skupštinskoj službi </w:t>
      </w:r>
      <w:r w:rsidR="00272F06" w:rsidRPr="005548BE">
        <w:rPr>
          <w:rFonts w:cs="Arial"/>
          <w:sz w:val="28"/>
          <w:szCs w:val="28"/>
        </w:rPr>
        <w:t>opštine Tivat ,</w:t>
      </w:r>
      <w:r w:rsidR="005548BE">
        <w:rPr>
          <w:rFonts w:cs="Arial"/>
          <w:sz w:val="28"/>
          <w:szCs w:val="28"/>
        </w:rPr>
        <w:t xml:space="preserve"> </w:t>
      </w:r>
      <w:r w:rsidRPr="005548BE">
        <w:rPr>
          <w:rFonts w:cs="Arial"/>
          <w:sz w:val="28"/>
          <w:szCs w:val="28"/>
        </w:rPr>
        <w:t>dostavljen je Plan aktivnosti sa finans</w:t>
      </w:r>
      <w:r w:rsidR="005548BE">
        <w:rPr>
          <w:rFonts w:cs="Arial"/>
          <w:sz w:val="28"/>
          <w:szCs w:val="28"/>
        </w:rPr>
        <w:t xml:space="preserve">ijskom konstrukcijom za 2015.g </w:t>
      </w:r>
      <w:r w:rsidRPr="005548BE">
        <w:rPr>
          <w:rFonts w:cs="Arial"/>
          <w:sz w:val="28"/>
          <w:szCs w:val="28"/>
        </w:rPr>
        <w:br/>
        <w:t>Na osnovu ovog Plana realizovane su sledeće aktivnosti:</w:t>
      </w:r>
    </w:p>
    <w:p w:rsidR="0093644E" w:rsidRPr="005548BE" w:rsidRDefault="0093644E" w:rsidP="0093644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 xml:space="preserve">Ažuriran  je baner Komisije na zvaničnoj internet prezentaciji Opštine Tivat </w:t>
      </w:r>
    </w:p>
    <w:p w:rsidR="0093644E" w:rsidRPr="005548BE" w:rsidRDefault="0093644E" w:rsidP="0093644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>Analizirana je  kompletna evidencija o zaposlenima koji podliježu nadzoru Komisije . Formirani su numerisani dosijei i uskladišteni pod ključem u depou Opštine Tivat kojima prist</w:t>
      </w:r>
      <w:r w:rsidR="00272F06" w:rsidRPr="005548BE">
        <w:rPr>
          <w:rFonts w:asciiTheme="minorHAnsi" w:hAnsiTheme="minorHAnsi"/>
          <w:sz w:val="28"/>
          <w:szCs w:val="28"/>
        </w:rPr>
        <w:t>up ima samo Komisija (276</w:t>
      </w:r>
      <w:r w:rsidRPr="005548BE">
        <w:rPr>
          <w:rFonts w:asciiTheme="minorHAnsi" w:hAnsiTheme="minorHAnsi"/>
          <w:sz w:val="28"/>
          <w:szCs w:val="28"/>
        </w:rPr>
        <w:t xml:space="preserve">) </w:t>
      </w:r>
    </w:p>
    <w:p w:rsidR="0093644E" w:rsidRPr="005548BE" w:rsidRDefault="0093644E" w:rsidP="0093644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lastRenderedPageBreak/>
        <w:t>Po Zakl</w:t>
      </w:r>
      <w:r w:rsidR="00272F06" w:rsidRPr="005548BE">
        <w:rPr>
          <w:rFonts w:asciiTheme="minorHAnsi" w:hAnsiTheme="minorHAnsi"/>
          <w:sz w:val="28"/>
          <w:szCs w:val="28"/>
        </w:rPr>
        <w:t xml:space="preserve">jučku Komisije iskorišteno je  </w:t>
      </w:r>
      <w:r w:rsidRPr="005548BE">
        <w:rPr>
          <w:rFonts w:asciiTheme="minorHAnsi" w:hAnsiTheme="minorHAnsi"/>
          <w:sz w:val="28"/>
          <w:szCs w:val="28"/>
        </w:rPr>
        <w:t>zakonsko pravo da Skupštinu i javnost informišemo o nadležnom organu ili instituciji u kojoj i koliki je broj zaposlenih koji nijesu potpisali izjavu u narednom periodu (na osnovu člana 52 koji glasi “ukoliko organi i organizacije izričito ili prećutno odbiju da pruže tražene informacije, Etička komisija o tome obaviještava skupštinu i javnost“)</w:t>
      </w:r>
    </w:p>
    <w:p w:rsidR="0093644E" w:rsidRPr="005548BE" w:rsidRDefault="00EB1955" w:rsidP="005548BE">
      <w:pPr>
        <w:pStyle w:val="Default"/>
        <w:ind w:firstLine="720"/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>*Tabela na kraju</w:t>
      </w:r>
    </w:p>
    <w:p w:rsidR="0093644E" w:rsidRPr="005548BE" w:rsidRDefault="0093644E" w:rsidP="00EB19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 xml:space="preserve">Radi bolje komunikacije građana, zaposlenih u javnim službama (javnim preduzećima, javnim ustanovama i organizacijama čiji je osnivač opština) sa Etičkom komisijom </w:t>
      </w:r>
      <w:r w:rsidR="00EB1955" w:rsidRPr="005548BE">
        <w:rPr>
          <w:rFonts w:asciiTheme="minorHAnsi" w:hAnsiTheme="minorHAnsi"/>
          <w:sz w:val="28"/>
          <w:szCs w:val="28"/>
        </w:rPr>
        <w:t xml:space="preserve">za lokalne službenike </w:t>
      </w:r>
      <w:r w:rsidRPr="005548BE">
        <w:rPr>
          <w:rFonts w:asciiTheme="minorHAnsi" w:hAnsiTheme="minorHAnsi"/>
          <w:sz w:val="28"/>
          <w:szCs w:val="28"/>
        </w:rPr>
        <w:t xml:space="preserve">napravljene su specijalne kutije za primjedbe ,sugestije i pisma Komisiji </w:t>
      </w:r>
    </w:p>
    <w:p w:rsidR="0093644E" w:rsidRPr="005548BE" w:rsidRDefault="0093644E" w:rsidP="0064472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 xml:space="preserve">Kutije su postavljene na vidnim mjestima u svim institucijama , a </w:t>
      </w:r>
      <w:r w:rsidR="00272F06" w:rsidRPr="005548BE">
        <w:rPr>
          <w:rFonts w:asciiTheme="minorHAnsi" w:hAnsiTheme="minorHAnsi"/>
          <w:sz w:val="28"/>
          <w:szCs w:val="28"/>
        </w:rPr>
        <w:t xml:space="preserve">tokom godine </w:t>
      </w:r>
      <w:r w:rsidR="0064472D" w:rsidRPr="005548BE">
        <w:rPr>
          <w:rFonts w:asciiTheme="minorHAnsi" w:hAnsiTheme="minorHAnsi"/>
          <w:sz w:val="28"/>
          <w:szCs w:val="28"/>
        </w:rPr>
        <w:t xml:space="preserve">članice Komisije su pregledale sadržaj i o tome izvještavale Komisiju. </w:t>
      </w:r>
    </w:p>
    <w:p w:rsidR="0093644E" w:rsidRPr="005548BE" w:rsidRDefault="0093644E" w:rsidP="0093644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>Odlukom Komisije predsjednica i članice komisije dužne su da svakog mjeseca izv</w:t>
      </w:r>
      <w:r w:rsidR="005548BE">
        <w:rPr>
          <w:rFonts w:asciiTheme="minorHAnsi" w:hAnsiTheme="minorHAnsi"/>
          <w:sz w:val="28"/>
          <w:szCs w:val="28"/>
        </w:rPr>
        <w:t>r</w:t>
      </w:r>
      <w:r w:rsidRPr="005548BE">
        <w:rPr>
          <w:rFonts w:asciiTheme="minorHAnsi" w:hAnsiTheme="minorHAnsi"/>
          <w:sz w:val="28"/>
          <w:szCs w:val="28"/>
        </w:rPr>
        <w:t xml:space="preserve">še pregled kutija i da konstatuju sadržaj </w:t>
      </w:r>
    </w:p>
    <w:p w:rsidR="0064472D" w:rsidRPr="005548BE" w:rsidRDefault="00EB1955" w:rsidP="0093644E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>Tokom pregleda kuti</w:t>
      </w:r>
      <w:r w:rsidR="0064472D" w:rsidRPr="005548BE">
        <w:rPr>
          <w:rFonts w:asciiTheme="minorHAnsi" w:hAnsiTheme="minorHAnsi"/>
          <w:sz w:val="28"/>
          <w:szCs w:val="28"/>
        </w:rPr>
        <w:t>je imale smo jednu anonimnu prijavu</w:t>
      </w:r>
    </w:p>
    <w:p w:rsidR="0064472D" w:rsidRPr="005548BE" w:rsidRDefault="0064472D" w:rsidP="0064472D">
      <w:pPr>
        <w:pStyle w:val="Normal1"/>
        <w:ind w:left="720"/>
        <w:jc w:val="both"/>
        <w:rPr>
          <w:rFonts w:asciiTheme="minorHAnsi" w:hAnsiTheme="minorHAnsi" w:cs="Times New Roman"/>
          <w:sz w:val="28"/>
          <w:szCs w:val="28"/>
        </w:rPr>
      </w:pPr>
      <w:r w:rsidRPr="005548BE">
        <w:rPr>
          <w:rFonts w:asciiTheme="minorHAnsi" w:hAnsiTheme="minorHAnsi" w:cs="Times New Roman"/>
          <w:sz w:val="28"/>
          <w:szCs w:val="28"/>
        </w:rPr>
        <w:t>Nakon razmatranja prve prijave ,anonimne, protiv službenika , odnosno zaposlenog u jednoj od institucija.Komisija je odlučila sledeće:</w:t>
      </w:r>
    </w:p>
    <w:p w:rsidR="0064472D" w:rsidRPr="005548BE" w:rsidRDefault="0064472D" w:rsidP="0064472D">
      <w:pPr>
        <w:pStyle w:val="Normal1"/>
        <w:ind w:left="720"/>
        <w:jc w:val="both"/>
        <w:rPr>
          <w:rFonts w:asciiTheme="minorHAnsi" w:hAnsiTheme="minorHAnsi" w:cs="Times New Roman"/>
          <w:sz w:val="28"/>
          <w:szCs w:val="28"/>
        </w:rPr>
      </w:pPr>
    </w:p>
    <w:p w:rsidR="0064472D" w:rsidRPr="005548BE" w:rsidRDefault="0064472D" w:rsidP="00EB1955">
      <w:pPr>
        <w:pStyle w:val="Normal1"/>
        <w:ind w:left="720"/>
        <w:jc w:val="both"/>
        <w:rPr>
          <w:rFonts w:asciiTheme="minorHAnsi" w:hAnsiTheme="minorHAnsi" w:cs="Times New Roman"/>
          <w:sz w:val="28"/>
          <w:szCs w:val="28"/>
        </w:rPr>
      </w:pPr>
      <w:r w:rsidRPr="005548BE">
        <w:rPr>
          <w:rFonts w:asciiTheme="minorHAnsi" w:hAnsiTheme="minorHAnsi" w:cs="Times New Roman"/>
          <w:sz w:val="28"/>
          <w:szCs w:val="28"/>
        </w:rPr>
        <w:t>Pritužba se odnosi na izgled zaposlenog i zajednički stav je da  je zaposleni , prekršio odredbu Etičkog kodeksa clan 6.u nekoj mjeri  I da njegov starješina treba da preduzme mjere iz svoje nadležnosti, ali pošto se konkretno n</w:t>
      </w:r>
      <w:r w:rsidR="00EB1955" w:rsidRPr="005548BE">
        <w:rPr>
          <w:rFonts w:asciiTheme="minorHAnsi" w:hAnsiTheme="minorHAnsi" w:cs="Times New Roman"/>
          <w:sz w:val="28"/>
          <w:szCs w:val="28"/>
        </w:rPr>
        <w:t xml:space="preserve">e odnosi na stav 8. člana 6 da se u  toj preporuci strješini </w:t>
      </w:r>
      <w:r w:rsidRPr="005548BE">
        <w:rPr>
          <w:rFonts w:asciiTheme="minorHAnsi" w:hAnsiTheme="minorHAnsi" w:cs="Times New Roman"/>
          <w:sz w:val="28"/>
          <w:szCs w:val="28"/>
        </w:rPr>
        <w:t xml:space="preserve"> naglasi da je dovoljna mjera </w:t>
      </w:r>
      <w:r w:rsidR="00EB1955" w:rsidRPr="005548BE">
        <w:rPr>
          <w:rFonts w:asciiTheme="minorHAnsi" w:hAnsiTheme="minorHAnsi" w:cs="Times New Roman"/>
          <w:sz w:val="28"/>
          <w:szCs w:val="28"/>
        </w:rPr>
        <w:t xml:space="preserve">- </w:t>
      </w:r>
      <w:r w:rsidRPr="005548BE">
        <w:rPr>
          <w:rFonts w:asciiTheme="minorHAnsi" w:hAnsiTheme="minorHAnsi" w:cs="Times New Roman"/>
          <w:sz w:val="28"/>
          <w:szCs w:val="28"/>
        </w:rPr>
        <w:t>opomena.</w:t>
      </w:r>
    </w:p>
    <w:p w:rsidR="0093644E" w:rsidRPr="005548BE" w:rsidRDefault="0093644E" w:rsidP="0064472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93644E" w:rsidRPr="005548BE" w:rsidRDefault="0093644E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5548BE">
        <w:rPr>
          <w:rFonts w:asciiTheme="minorHAnsi" w:hAnsiTheme="minorHAnsi" w:cs="Arial"/>
          <w:sz w:val="28"/>
          <w:szCs w:val="28"/>
        </w:rPr>
        <w:t>Utisak o instituciji prvo stvaraju zaposleni tj.službenici  a to je jedan od Ciljeva Etičkog kodeksa a tiče se utvrđivanja standarda u ponašanju zaposlenih (član.2 i član 6.koji glasi: Zaposleni u vršenju poslova u odnosu sa korisnicima usluga ,</w:t>
      </w:r>
      <w:r w:rsidR="0064472D" w:rsidRPr="005548BE">
        <w:rPr>
          <w:rFonts w:asciiTheme="minorHAnsi" w:hAnsiTheme="minorHAnsi" w:cs="Arial"/>
          <w:sz w:val="28"/>
          <w:szCs w:val="28"/>
        </w:rPr>
        <w:t xml:space="preserve"> </w:t>
      </w:r>
      <w:r w:rsidRPr="005548BE">
        <w:rPr>
          <w:rFonts w:asciiTheme="minorHAnsi" w:hAnsiTheme="minorHAnsi" w:cs="Arial"/>
          <w:sz w:val="28"/>
          <w:szCs w:val="28"/>
        </w:rPr>
        <w:t>postupa, korektno ljubazno i pristojno)</w:t>
      </w:r>
    </w:p>
    <w:p w:rsidR="005548BE" w:rsidRDefault="0093644E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5548BE">
        <w:rPr>
          <w:rFonts w:asciiTheme="minorHAnsi" w:hAnsiTheme="minorHAnsi" w:cs="Arial"/>
          <w:sz w:val="28"/>
          <w:szCs w:val="28"/>
        </w:rPr>
        <w:t xml:space="preserve">Radi približavanja načina rada Etičke komisije institucijama za koje je ona nadležna organizovana je već u gradu prepoznata kampanja </w:t>
      </w:r>
    </w:p>
    <w:p w:rsidR="0064472D" w:rsidRPr="005548BE" w:rsidRDefault="0093644E" w:rsidP="005548BE">
      <w:pPr>
        <w:pStyle w:val="ListParagraph"/>
        <w:spacing w:after="0"/>
        <w:rPr>
          <w:rFonts w:asciiTheme="minorHAnsi" w:hAnsiTheme="minorHAnsi" w:cs="Arial"/>
          <w:sz w:val="28"/>
          <w:szCs w:val="28"/>
        </w:rPr>
      </w:pPr>
      <w:r w:rsidRPr="005548BE">
        <w:rPr>
          <w:rFonts w:asciiTheme="minorHAnsi" w:hAnsiTheme="minorHAnsi" w:cs="Arial"/>
          <w:sz w:val="28"/>
          <w:szCs w:val="28"/>
        </w:rPr>
        <w:t>„Biramo najljubaznijeg službenika/cu</w:t>
      </w:r>
      <w:r w:rsidR="005548BE">
        <w:rPr>
          <w:rFonts w:asciiTheme="minorHAnsi" w:hAnsiTheme="minorHAnsi" w:cs="Arial"/>
          <w:sz w:val="28"/>
          <w:szCs w:val="28"/>
        </w:rPr>
        <w:t>“</w:t>
      </w:r>
      <w:r w:rsidRPr="005548BE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koja je trajala do 10 decembra kada je na Međunarodni dan ljubaznosti proglaše</w:t>
      </w:r>
      <w:r w:rsidR="00EB1955" w:rsidRPr="005548BE">
        <w:rPr>
          <w:rFonts w:asciiTheme="minorHAnsi" w:hAnsiTheme="minorHAnsi" w:cs="Arial"/>
          <w:sz w:val="28"/>
          <w:szCs w:val="28"/>
        </w:rPr>
        <w:t>na</w:t>
      </w:r>
      <w:r w:rsidRPr="005548BE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                 </w:t>
      </w:r>
      <w:r w:rsidR="005548BE">
        <w:rPr>
          <w:rFonts w:asciiTheme="minorHAnsi" w:hAnsiTheme="minorHAnsi" w:cs="Arial"/>
          <w:sz w:val="28"/>
          <w:szCs w:val="28"/>
        </w:rPr>
        <w:t xml:space="preserve">                           </w:t>
      </w:r>
      <w:r w:rsidRPr="005548BE">
        <w:rPr>
          <w:rFonts w:asciiTheme="minorHAnsi" w:hAnsiTheme="minorHAnsi" w:cs="Arial"/>
          <w:sz w:val="28"/>
          <w:szCs w:val="28"/>
        </w:rPr>
        <w:t xml:space="preserve">pobjednica  sa najvećim brojem glasova i uručena je nagrada kao i </w:t>
      </w:r>
      <w:r w:rsidRPr="005548BE">
        <w:rPr>
          <w:rFonts w:asciiTheme="minorHAnsi" w:hAnsiTheme="minorHAnsi" w:cs="Arial"/>
          <w:sz w:val="28"/>
          <w:szCs w:val="28"/>
        </w:rPr>
        <w:lastRenderedPageBreak/>
        <w:t>specijalno dizajnir</w:t>
      </w:r>
      <w:r w:rsidR="0064472D" w:rsidRPr="005548BE">
        <w:rPr>
          <w:rFonts w:asciiTheme="minorHAnsi" w:hAnsiTheme="minorHAnsi" w:cs="Arial"/>
          <w:sz w:val="28"/>
          <w:szCs w:val="28"/>
        </w:rPr>
        <w:t>ana statua.To</w:t>
      </w:r>
      <w:r w:rsidR="00EB1955" w:rsidRPr="005548BE">
        <w:rPr>
          <w:rFonts w:asciiTheme="minorHAnsi" w:hAnsiTheme="minorHAnsi" w:cs="Arial"/>
          <w:sz w:val="28"/>
          <w:szCs w:val="28"/>
        </w:rPr>
        <w:t xml:space="preserve"> je službenica Anđelka Kovačić , zaposlena u Cent</w:t>
      </w:r>
      <w:r w:rsidR="005548BE">
        <w:rPr>
          <w:rFonts w:asciiTheme="minorHAnsi" w:hAnsiTheme="minorHAnsi" w:cs="Arial"/>
          <w:sz w:val="28"/>
          <w:szCs w:val="28"/>
        </w:rPr>
        <w:t>r</w:t>
      </w:r>
      <w:r w:rsidR="00EB1955" w:rsidRPr="005548BE">
        <w:rPr>
          <w:rFonts w:asciiTheme="minorHAnsi" w:hAnsiTheme="minorHAnsi" w:cs="Arial"/>
          <w:sz w:val="28"/>
          <w:szCs w:val="28"/>
        </w:rPr>
        <w:t>u za kulturu.</w:t>
      </w:r>
    </w:p>
    <w:p w:rsidR="0093644E" w:rsidRPr="005548BE" w:rsidRDefault="0093644E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5548BE">
        <w:rPr>
          <w:rFonts w:asciiTheme="minorHAnsi" w:hAnsiTheme="minorHAnsi" w:cs="Arial"/>
          <w:sz w:val="28"/>
          <w:szCs w:val="28"/>
        </w:rPr>
        <w:t>Kampanju „Ljubaznost od mene počnje“  propratili su i mediji.</w:t>
      </w:r>
    </w:p>
    <w:p w:rsidR="0064472D" w:rsidRPr="005548BE" w:rsidRDefault="003D0764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b/>
          <w:sz w:val="28"/>
          <w:szCs w:val="28"/>
        </w:rPr>
      </w:pPr>
      <w:r w:rsidRPr="005548BE">
        <w:rPr>
          <w:rFonts w:asciiTheme="minorHAnsi" w:hAnsiTheme="minorHAnsi" w:cs="Arial"/>
          <w:sz w:val="28"/>
          <w:szCs w:val="28"/>
        </w:rPr>
        <w:t>Imajući u vidu način rada ove K</w:t>
      </w:r>
      <w:r w:rsidR="0064472D" w:rsidRPr="005548BE">
        <w:rPr>
          <w:rFonts w:asciiTheme="minorHAnsi" w:hAnsiTheme="minorHAnsi" w:cs="Arial"/>
          <w:sz w:val="28"/>
          <w:szCs w:val="28"/>
        </w:rPr>
        <w:t>omisije ,</w:t>
      </w:r>
      <w:r w:rsidRPr="005548BE">
        <w:rPr>
          <w:rFonts w:asciiTheme="minorHAnsi" w:hAnsiTheme="minorHAnsi" w:cs="Arial"/>
          <w:sz w:val="28"/>
          <w:szCs w:val="28"/>
        </w:rPr>
        <w:t xml:space="preserve"> model koji je prepoznat i u Crnoj </w:t>
      </w:r>
      <w:r w:rsidR="0064472D" w:rsidRPr="005548BE">
        <w:rPr>
          <w:rFonts w:asciiTheme="minorHAnsi" w:hAnsiTheme="minorHAnsi" w:cs="Arial"/>
          <w:sz w:val="28"/>
          <w:szCs w:val="28"/>
        </w:rPr>
        <w:t>Gori , ova komisija je po misljenju crnogorskih nevladinih o</w:t>
      </w:r>
      <w:r w:rsidRPr="005548BE">
        <w:rPr>
          <w:rFonts w:asciiTheme="minorHAnsi" w:hAnsiTheme="minorHAnsi" w:cs="Arial"/>
          <w:sz w:val="28"/>
          <w:szCs w:val="28"/>
        </w:rPr>
        <w:t>rganizacija primjer dobre prakse i kao takva</w:t>
      </w:r>
      <w:r w:rsidR="0064472D" w:rsidRPr="005548BE">
        <w:rPr>
          <w:rFonts w:asciiTheme="minorHAnsi" w:hAnsiTheme="minorHAnsi" w:cs="Arial"/>
          <w:sz w:val="28"/>
          <w:szCs w:val="28"/>
        </w:rPr>
        <w:t>,</w:t>
      </w:r>
      <w:r w:rsidRPr="005548BE">
        <w:rPr>
          <w:rFonts w:asciiTheme="minorHAnsi" w:hAnsiTheme="minorHAnsi" w:cs="Arial"/>
          <w:sz w:val="28"/>
          <w:szCs w:val="28"/>
        </w:rPr>
        <w:t xml:space="preserve"> </w:t>
      </w:r>
      <w:r w:rsidR="0064472D" w:rsidRPr="005548BE">
        <w:rPr>
          <w:rFonts w:asciiTheme="minorHAnsi" w:hAnsiTheme="minorHAnsi" w:cs="Arial"/>
          <w:sz w:val="28"/>
          <w:szCs w:val="28"/>
        </w:rPr>
        <w:t xml:space="preserve">našla se u </w:t>
      </w:r>
      <w:r w:rsidRPr="005548BE">
        <w:rPr>
          <w:rFonts w:asciiTheme="minorHAnsi" w:hAnsiTheme="minorHAnsi" w:cs="Arial"/>
          <w:sz w:val="28"/>
          <w:szCs w:val="28"/>
        </w:rPr>
        <w:t>studiji „</w:t>
      </w:r>
      <w:r w:rsidRPr="005548BE">
        <w:rPr>
          <w:rFonts w:asciiTheme="minorHAnsi" w:hAnsiTheme="minorHAnsi"/>
          <w:sz w:val="28"/>
          <w:szCs w:val="28"/>
        </w:rPr>
        <w:t xml:space="preserve"> </w:t>
      </w:r>
      <w:r w:rsidRPr="005548BE">
        <w:rPr>
          <w:rStyle w:val="A0"/>
          <w:rFonts w:asciiTheme="minorHAnsi" w:hAnsiTheme="minorHAnsi"/>
          <w:b w:val="0"/>
          <w:sz w:val="28"/>
          <w:szCs w:val="28"/>
        </w:rPr>
        <w:t>ETIKA I JAVNA UPRAVA: PRINCIPI BEZ PODRŠKE“ Instituta Alternativa.</w:t>
      </w:r>
    </w:p>
    <w:p w:rsidR="0093644E" w:rsidRPr="005548BE" w:rsidRDefault="0093644E" w:rsidP="0093644E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93644E" w:rsidRPr="005548BE" w:rsidRDefault="0093644E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5548BE">
        <w:rPr>
          <w:rFonts w:asciiTheme="minorHAnsi" w:hAnsiTheme="minorHAnsi" w:cs="Arial"/>
          <w:sz w:val="28"/>
          <w:szCs w:val="28"/>
        </w:rPr>
        <w:t>Na osnovu predviđenog Plana ,</w:t>
      </w:r>
      <w:r w:rsidR="003D0764" w:rsidRPr="005548BE">
        <w:rPr>
          <w:rFonts w:asciiTheme="minorHAnsi" w:hAnsiTheme="minorHAnsi" w:cs="Arial"/>
          <w:sz w:val="28"/>
          <w:szCs w:val="28"/>
        </w:rPr>
        <w:t xml:space="preserve"> </w:t>
      </w:r>
      <w:r w:rsidRPr="005548BE">
        <w:rPr>
          <w:rFonts w:asciiTheme="minorHAnsi" w:hAnsiTheme="minorHAnsi" w:cs="Arial"/>
          <w:sz w:val="28"/>
          <w:szCs w:val="28"/>
        </w:rPr>
        <w:t>napravljen je i Plan posjeta institucijama.</w:t>
      </w:r>
    </w:p>
    <w:p w:rsidR="0093644E" w:rsidRPr="005548BE" w:rsidRDefault="0093644E" w:rsidP="0093644E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93644E" w:rsidRPr="005548BE" w:rsidRDefault="0093644E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8"/>
          <w:szCs w:val="28"/>
        </w:rPr>
      </w:pPr>
      <w:r w:rsidRPr="005548BE">
        <w:rPr>
          <w:rFonts w:asciiTheme="minorHAnsi" w:hAnsiTheme="minorHAnsi" w:cs="Arial"/>
          <w:sz w:val="28"/>
          <w:szCs w:val="28"/>
        </w:rPr>
        <w:t>Predsjednica i članice institucije su sa kontakt osobama dogovo</w:t>
      </w:r>
      <w:r w:rsidR="003D0764" w:rsidRPr="005548BE">
        <w:rPr>
          <w:rFonts w:asciiTheme="minorHAnsi" w:hAnsiTheme="minorHAnsi" w:cs="Arial"/>
          <w:sz w:val="28"/>
          <w:szCs w:val="28"/>
        </w:rPr>
        <w:t>rili posjete gdje pored direktori</w:t>
      </w:r>
      <w:r w:rsidRPr="005548BE">
        <w:rPr>
          <w:rFonts w:asciiTheme="minorHAnsi" w:hAnsiTheme="minorHAnsi" w:cs="Arial"/>
          <w:sz w:val="28"/>
          <w:szCs w:val="28"/>
        </w:rPr>
        <w:t>/ca bili su i prisutni zaposleni.Prezentovan je rad Etičke komisije,</w:t>
      </w:r>
      <w:r w:rsidR="003D0764" w:rsidRPr="005548BE">
        <w:rPr>
          <w:rFonts w:asciiTheme="minorHAnsi" w:hAnsiTheme="minorHAnsi" w:cs="Arial"/>
          <w:sz w:val="28"/>
          <w:szCs w:val="28"/>
        </w:rPr>
        <w:t xml:space="preserve"> </w:t>
      </w:r>
      <w:r w:rsidRPr="005548BE">
        <w:rPr>
          <w:rFonts w:asciiTheme="minorHAnsi" w:hAnsiTheme="minorHAnsi" w:cs="Arial"/>
          <w:sz w:val="28"/>
          <w:szCs w:val="28"/>
        </w:rPr>
        <w:t>njen sastav, način rada, postupanje u slučaju nepotpisivanja Etičkog ko</w:t>
      </w:r>
      <w:r w:rsidR="003D0764" w:rsidRPr="005548BE">
        <w:rPr>
          <w:rFonts w:asciiTheme="minorHAnsi" w:hAnsiTheme="minorHAnsi" w:cs="Arial"/>
          <w:sz w:val="28"/>
          <w:szCs w:val="28"/>
        </w:rPr>
        <w:t>deksa, i razgovarano je i o samim odredba</w:t>
      </w:r>
      <w:r w:rsidRPr="005548BE">
        <w:rPr>
          <w:rFonts w:asciiTheme="minorHAnsi" w:hAnsiTheme="minorHAnsi" w:cs="Arial"/>
          <w:sz w:val="28"/>
          <w:szCs w:val="28"/>
        </w:rPr>
        <w:t>ma kodeksa.</w:t>
      </w:r>
    </w:p>
    <w:p w:rsidR="0093644E" w:rsidRPr="005548BE" w:rsidRDefault="0093644E" w:rsidP="0093644E">
      <w:pPr>
        <w:pStyle w:val="ListParagraph"/>
        <w:rPr>
          <w:rFonts w:asciiTheme="minorHAnsi" w:hAnsiTheme="minorHAnsi" w:cs="Arial"/>
          <w:sz w:val="28"/>
          <w:szCs w:val="28"/>
        </w:rPr>
      </w:pPr>
    </w:p>
    <w:p w:rsidR="00B176C2" w:rsidRPr="005548BE" w:rsidRDefault="0093644E" w:rsidP="005548B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 w:cs="Arial"/>
          <w:sz w:val="28"/>
          <w:szCs w:val="28"/>
        </w:rPr>
        <w:t>U pojedinim institucijama istaknut je značaj informisanja svih zaposlenih o obavljanju poslova kojima se krši Etički kodeks kao i dobijanju dozvole od pretpostavljenog za obavljanje dodatnog</w:t>
      </w:r>
      <w:r w:rsidR="003D0764" w:rsidRPr="005548BE">
        <w:rPr>
          <w:rFonts w:asciiTheme="minorHAnsi" w:hAnsiTheme="minorHAnsi" w:cs="Arial"/>
          <w:sz w:val="28"/>
          <w:szCs w:val="28"/>
        </w:rPr>
        <w:t xml:space="preserve"> posla </w:t>
      </w:r>
    </w:p>
    <w:p w:rsidR="0093644E" w:rsidRDefault="0093644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5548BE" w:rsidRPr="005548BE" w:rsidRDefault="005548BE" w:rsidP="0093644E">
      <w:pPr>
        <w:pStyle w:val="ListParagraph"/>
        <w:rPr>
          <w:rFonts w:asciiTheme="minorHAnsi" w:hAnsiTheme="minorHAnsi"/>
          <w:sz w:val="28"/>
          <w:szCs w:val="28"/>
        </w:rPr>
      </w:pPr>
    </w:p>
    <w:p w:rsidR="0093644E" w:rsidRPr="005548BE" w:rsidRDefault="0093644E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5548BE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STATISTIKA </w:t>
      </w:r>
    </w:p>
    <w:p w:rsidR="0093644E" w:rsidRPr="005548BE" w:rsidRDefault="0093644E" w:rsidP="0093644E">
      <w:pPr>
        <w:pStyle w:val="ListParagraph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195"/>
        <w:gridCol w:w="2195"/>
        <w:gridCol w:w="2195"/>
      </w:tblGrid>
      <w:tr w:rsidR="0093644E" w:rsidRPr="005548BE" w:rsidTr="00E7669E">
        <w:trPr>
          <w:trHeight w:val="1070"/>
        </w:trPr>
        <w:tc>
          <w:tcPr>
            <w:tcW w:w="2208" w:type="dxa"/>
          </w:tcPr>
          <w:p w:rsidR="0093644E" w:rsidRPr="005548BE" w:rsidRDefault="0093644E" w:rsidP="00E7669E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sz w:val="28"/>
                <w:szCs w:val="28"/>
              </w:rPr>
              <w:t>INSTITUCIJA</w:t>
            </w:r>
          </w:p>
        </w:tc>
        <w:tc>
          <w:tcPr>
            <w:tcW w:w="2216" w:type="dxa"/>
          </w:tcPr>
          <w:p w:rsidR="0093644E" w:rsidRPr="005548BE" w:rsidRDefault="0093644E" w:rsidP="00E7669E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sz w:val="28"/>
                <w:szCs w:val="28"/>
              </w:rPr>
              <w:t>BROJ ZAPOSLENIH PO EVIDENCIJI KOMISIJE</w:t>
            </w:r>
          </w:p>
        </w:tc>
        <w:tc>
          <w:tcPr>
            <w:tcW w:w="2216" w:type="dxa"/>
          </w:tcPr>
          <w:p w:rsidR="0093644E" w:rsidRPr="005548BE" w:rsidRDefault="0093644E" w:rsidP="00E7669E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sz w:val="28"/>
                <w:szCs w:val="28"/>
              </w:rPr>
              <w:t>BROJ ZAPOSLENIH KOJI SU POTPISALI ETIČKI KODEKS</w:t>
            </w:r>
          </w:p>
        </w:tc>
        <w:tc>
          <w:tcPr>
            <w:tcW w:w="2216" w:type="dxa"/>
          </w:tcPr>
          <w:p w:rsidR="0093644E" w:rsidRPr="005548BE" w:rsidRDefault="0093644E" w:rsidP="00E7669E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sz w:val="28"/>
                <w:szCs w:val="28"/>
              </w:rPr>
              <w:t>BROJ ZAPOSLENIH KOJI NIJESU POTPISALI ETIČKI KODEKS</w:t>
            </w:r>
          </w:p>
        </w:tc>
      </w:tr>
      <w:tr w:rsidR="0093644E" w:rsidRPr="005548BE" w:rsidTr="00E7669E">
        <w:tc>
          <w:tcPr>
            <w:tcW w:w="2208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OPŠTINA TIVAT </w:t>
            </w:r>
          </w:p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2216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3644E" w:rsidRPr="005548BE" w:rsidTr="00E7669E">
        <w:tc>
          <w:tcPr>
            <w:tcW w:w="2208" w:type="dxa"/>
          </w:tcPr>
          <w:p w:rsidR="0093644E" w:rsidRPr="005548BE" w:rsidRDefault="0093644E" w:rsidP="00E7669E">
            <w:pPr>
              <w:pStyle w:val="ListParagraph"/>
              <w:ind w:left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i/>
                <w:sz w:val="28"/>
                <w:szCs w:val="28"/>
              </w:rPr>
              <w:t>DOO KOMUNALNO PREDUZEĆE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97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97</w:t>
            </w:r>
          </w:p>
        </w:tc>
        <w:tc>
          <w:tcPr>
            <w:tcW w:w="2216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3644E" w:rsidRPr="005548BE" w:rsidTr="00E7669E">
        <w:tc>
          <w:tcPr>
            <w:tcW w:w="2208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i/>
                <w:sz w:val="28"/>
                <w:szCs w:val="28"/>
              </w:rPr>
              <w:t>DOO VODOVOD</w:t>
            </w:r>
          </w:p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2216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3644E" w:rsidRPr="005548BE" w:rsidTr="00E7669E">
        <w:tc>
          <w:tcPr>
            <w:tcW w:w="2208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SPORTSKA DVORANA ŽUPA 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3644E" w:rsidRPr="005548BE" w:rsidTr="00E7669E">
        <w:tc>
          <w:tcPr>
            <w:tcW w:w="2208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CENTAR ZA KULTURU 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1</w:t>
            </w:r>
            <w:r w:rsidR="00E225F6">
              <w:rPr>
                <w:rFonts w:asciiTheme="minorHAnsi" w:hAnsiTheme="minorHAnsi"/>
                <w:sz w:val="28"/>
                <w:szCs w:val="28"/>
              </w:rPr>
              <w:t xml:space="preserve">6 </w:t>
            </w:r>
            <w:r w:rsidRPr="005548BE">
              <w:rPr>
                <w:rFonts w:asciiTheme="minorHAnsi" w:hAnsiTheme="minorHAnsi"/>
                <w:sz w:val="28"/>
                <w:szCs w:val="28"/>
              </w:rPr>
              <w:t>(14 +2*)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93644E" w:rsidRPr="005548BE" w:rsidTr="00E7669E">
        <w:tc>
          <w:tcPr>
            <w:tcW w:w="2208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TURISTIČKA ORGANIZACIJA 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9 (5*)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 xml:space="preserve">9 </w:t>
            </w:r>
          </w:p>
        </w:tc>
        <w:tc>
          <w:tcPr>
            <w:tcW w:w="2216" w:type="dxa"/>
          </w:tcPr>
          <w:p w:rsidR="0093644E" w:rsidRPr="005548BE" w:rsidRDefault="0093644E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3644E" w:rsidRPr="005548BE" w:rsidTr="00E7669E">
        <w:tc>
          <w:tcPr>
            <w:tcW w:w="2208" w:type="dxa"/>
          </w:tcPr>
          <w:p w:rsidR="0093644E" w:rsidRPr="005548BE" w:rsidRDefault="0093644E" w:rsidP="00E7669E">
            <w:pPr>
              <w:pStyle w:val="ListParagraph"/>
              <w:ind w:left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548B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RADIO TIVAT </w:t>
            </w:r>
          </w:p>
          <w:p w:rsidR="0093644E" w:rsidRPr="005548BE" w:rsidRDefault="0093644E" w:rsidP="00E7669E">
            <w:pPr>
              <w:pStyle w:val="ListParagraph"/>
              <w:ind w:left="0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:rsidR="0093644E" w:rsidRPr="005548BE" w:rsidRDefault="00B176C2" w:rsidP="00E7669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B176C2" w:rsidRPr="005548BE" w:rsidTr="00B176C2">
        <w:tc>
          <w:tcPr>
            <w:tcW w:w="2394" w:type="dxa"/>
          </w:tcPr>
          <w:p w:rsidR="00B176C2" w:rsidRPr="002E725B" w:rsidRDefault="00B176C2" w:rsidP="0093644E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2E725B">
              <w:rPr>
                <w:rFonts w:asciiTheme="minorHAnsi" w:hAnsiTheme="minorHAnsi"/>
                <w:b/>
                <w:sz w:val="28"/>
                <w:szCs w:val="28"/>
              </w:rPr>
              <w:t>UKUPNO</w:t>
            </w:r>
          </w:p>
          <w:p w:rsidR="00B176C2" w:rsidRPr="005548BE" w:rsidRDefault="00B176C2" w:rsidP="0093644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4" w:type="dxa"/>
          </w:tcPr>
          <w:p w:rsidR="00B176C2" w:rsidRPr="005548BE" w:rsidRDefault="00B176C2" w:rsidP="0093644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276</w:t>
            </w:r>
          </w:p>
        </w:tc>
        <w:tc>
          <w:tcPr>
            <w:tcW w:w="2394" w:type="dxa"/>
          </w:tcPr>
          <w:p w:rsidR="00B176C2" w:rsidRPr="005548BE" w:rsidRDefault="00B176C2" w:rsidP="0093644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274</w:t>
            </w:r>
          </w:p>
        </w:tc>
        <w:tc>
          <w:tcPr>
            <w:tcW w:w="2394" w:type="dxa"/>
          </w:tcPr>
          <w:p w:rsidR="00B176C2" w:rsidRPr="005548BE" w:rsidRDefault="00B176C2" w:rsidP="0093644E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548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</w:tbl>
    <w:p w:rsidR="0093644E" w:rsidRPr="005548BE" w:rsidRDefault="0093644E" w:rsidP="0093644E">
      <w:pPr>
        <w:pStyle w:val="ListParagraph"/>
        <w:spacing w:after="0"/>
        <w:jc w:val="both"/>
        <w:rPr>
          <w:rFonts w:asciiTheme="minorHAnsi" w:hAnsiTheme="minorHAnsi"/>
          <w:sz w:val="28"/>
          <w:szCs w:val="28"/>
        </w:rPr>
      </w:pPr>
    </w:p>
    <w:p w:rsidR="0093644E" w:rsidRPr="005548BE" w:rsidRDefault="0093644E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>Etičkim kodeksom nijesu obuhvaćeni stručni saradnici sa kojima je potpisan Ugovor o radu</w:t>
      </w:r>
    </w:p>
    <w:p w:rsidR="00B176C2" w:rsidRPr="005548BE" w:rsidRDefault="00B176C2" w:rsidP="0093644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>*Pripravnici</w:t>
      </w:r>
    </w:p>
    <w:p w:rsidR="0093644E" w:rsidRPr="005548BE" w:rsidRDefault="0093644E" w:rsidP="0093644E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93644E" w:rsidRPr="005548BE" w:rsidRDefault="0093644E" w:rsidP="0093644E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93644E" w:rsidRPr="005548BE" w:rsidRDefault="004601D8" w:rsidP="00B657B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5548BE">
        <w:rPr>
          <w:rFonts w:asciiTheme="minorHAnsi" w:hAnsiTheme="minorHAnsi"/>
          <w:sz w:val="28"/>
          <w:szCs w:val="28"/>
        </w:rPr>
        <w:t xml:space="preserve">U protekloj godini </w:t>
      </w:r>
      <w:r w:rsidR="000F7AF0" w:rsidRPr="005548BE">
        <w:rPr>
          <w:rFonts w:asciiTheme="minorHAnsi" w:hAnsiTheme="minorHAnsi"/>
          <w:sz w:val="28"/>
          <w:szCs w:val="28"/>
        </w:rPr>
        <w:t xml:space="preserve"> osim ano</w:t>
      </w:r>
      <w:r w:rsidR="00B657B4" w:rsidRPr="005548BE">
        <w:rPr>
          <w:rFonts w:asciiTheme="minorHAnsi" w:hAnsiTheme="minorHAnsi"/>
          <w:sz w:val="28"/>
          <w:szCs w:val="28"/>
        </w:rPr>
        <w:t>ni</w:t>
      </w:r>
      <w:r w:rsidR="000F7AF0" w:rsidRPr="005548BE">
        <w:rPr>
          <w:rFonts w:asciiTheme="minorHAnsi" w:hAnsiTheme="minorHAnsi"/>
          <w:sz w:val="28"/>
          <w:szCs w:val="28"/>
        </w:rPr>
        <w:t xml:space="preserve">mne pritužbe, bila je i jedna pritužba od strane građanke </w:t>
      </w:r>
      <w:r w:rsidR="00B176C2" w:rsidRPr="005548BE">
        <w:rPr>
          <w:rFonts w:asciiTheme="minorHAnsi" w:hAnsiTheme="minorHAnsi"/>
          <w:sz w:val="28"/>
          <w:szCs w:val="28"/>
        </w:rPr>
        <w:t xml:space="preserve"> Tivta </w:t>
      </w:r>
      <w:r w:rsidR="000F7AF0" w:rsidRPr="005548BE">
        <w:rPr>
          <w:rFonts w:asciiTheme="minorHAnsi" w:hAnsiTheme="minorHAnsi"/>
          <w:sz w:val="28"/>
          <w:szCs w:val="28"/>
        </w:rPr>
        <w:t>koja je imala i pravnog zastupnika</w:t>
      </w:r>
      <w:r w:rsidR="0093644E" w:rsidRPr="005548BE">
        <w:rPr>
          <w:rFonts w:asciiTheme="minorHAnsi" w:hAnsiTheme="minorHAnsi"/>
          <w:sz w:val="28"/>
          <w:szCs w:val="28"/>
        </w:rPr>
        <w:t xml:space="preserve">  </w:t>
      </w:r>
      <w:r w:rsidR="00B657B4" w:rsidRPr="005548BE">
        <w:rPr>
          <w:rFonts w:asciiTheme="minorHAnsi" w:hAnsiTheme="minorHAnsi"/>
          <w:sz w:val="28"/>
          <w:szCs w:val="28"/>
        </w:rPr>
        <w:t>,</w:t>
      </w:r>
      <w:r w:rsidR="002E725B">
        <w:rPr>
          <w:rFonts w:asciiTheme="minorHAnsi" w:hAnsiTheme="minorHAnsi"/>
          <w:sz w:val="28"/>
          <w:szCs w:val="28"/>
        </w:rPr>
        <w:t xml:space="preserve"> </w:t>
      </w:r>
      <w:r w:rsidR="00B657B4" w:rsidRPr="005548BE">
        <w:rPr>
          <w:rFonts w:asciiTheme="minorHAnsi" w:hAnsiTheme="minorHAnsi"/>
          <w:sz w:val="28"/>
          <w:szCs w:val="28"/>
        </w:rPr>
        <w:t>tako da je Komisija pokrenula proceduru.</w:t>
      </w:r>
    </w:p>
    <w:p w:rsidR="0093644E" w:rsidRPr="005548BE" w:rsidRDefault="00B657B4" w:rsidP="00B657B4">
      <w:pPr>
        <w:jc w:val="both"/>
        <w:rPr>
          <w:rFonts w:cs="Arial"/>
          <w:sz w:val="28"/>
          <w:szCs w:val="28"/>
        </w:rPr>
      </w:pPr>
      <w:r w:rsidRPr="005548BE">
        <w:rPr>
          <w:rFonts w:cs="Arial"/>
          <w:sz w:val="28"/>
          <w:szCs w:val="28"/>
        </w:rPr>
        <w:t xml:space="preserve">U cilju utvrdjivanja činjeničnog stanja a u vezi sa </w:t>
      </w:r>
      <w:r w:rsidR="00B176C2" w:rsidRPr="005548BE">
        <w:rPr>
          <w:rFonts w:cs="Arial"/>
          <w:sz w:val="28"/>
          <w:szCs w:val="28"/>
        </w:rPr>
        <w:t>pritužbom o mogućoj  povredi</w:t>
      </w:r>
      <w:r w:rsidRPr="005548BE">
        <w:rPr>
          <w:rFonts w:cs="Arial"/>
          <w:sz w:val="28"/>
          <w:szCs w:val="28"/>
        </w:rPr>
        <w:t xml:space="preserve"> Etičkog kodeksa od strane službenika, Etička komisija je pokrenula  ispitni  postupak  i sprovela radnje na osnovu donešenog Zaključka </w:t>
      </w:r>
      <w:r w:rsidR="00B176C2" w:rsidRPr="005548BE">
        <w:rPr>
          <w:rFonts w:cs="Arial"/>
          <w:sz w:val="28"/>
          <w:szCs w:val="28"/>
        </w:rPr>
        <w:t>.</w:t>
      </w:r>
    </w:p>
    <w:p w:rsidR="0093644E" w:rsidRPr="005548BE" w:rsidRDefault="0093644E" w:rsidP="005822CC">
      <w:pPr>
        <w:jc w:val="both"/>
        <w:rPr>
          <w:rFonts w:cs="Arial"/>
          <w:sz w:val="28"/>
          <w:szCs w:val="28"/>
        </w:rPr>
      </w:pPr>
      <w:r w:rsidRPr="005548BE">
        <w:rPr>
          <w:rFonts w:cs="Arial"/>
          <w:sz w:val="28"/>
          <w:szCs w:val="28"/>
        </w:rPr>
        <w:lastRenderedPageBreak/>
        <w:t>Etička komisija je na osnovu datih izjava (usmenih i pismenih) i dostavljenih dokumenata i dokaza donijela</w:t>
      </w:r>
      <w:r w:rsidR="005822CC">
        <w:rPr>
          <w:rFonts w:cs="Arial"/>
          <w:sz w:val="28"/>
          <w:szCs w:val="28"/>
        </w:rPr>
        <w:t xml:space="preserve"> i Odluke</w:t>
      </w:r>
    </w:p>
    <w:p w:rsidR="0093644E" w:rsidRPr="005822CC" w:rsidRDefault="005822CC" w:rsidP="005822C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="0093644E" w:rsidRPr="005548BE">
        <w:rPr>
          <w:rFonts w:cs="Arial"/>
          <w:sz w:val="28"/>
          <w:szCs w:val="28"/>
        </w:rPr>
        <w:t>a kršenje navedenih odredbi Eti</w:t>
      </w:r>
      <w:r w:rsidR="00B657B4" w:rsidRPr="005548BE">
        <w:rPr>
          <w:rFonts w:cs="Arial"/>
          <w:sz w:val="28"/>
          <w:szCs w:val="28"/>
        </w:rPr>
        <w:t>čkog kodeksa od strane zaposlenih,</w:t>
      </w:r>
      <w:r w:rsidR="0093644E" w:rsidRPr="005548BE">
        <w:rPr>
          <w:rFonts w:cs="Arial"/>
          <w:sz w:val="28"/>
          <w:szCs w:val="28"/>
        </w:rPr>
        <w:t xml:space="preserve"> Komisija je utvrdila da nije povrijeđen Etički kodeks ni po jednoj odredbi Etičkog kodeksa  iz razloga nemanja dokaza, osim subjektivne procjene podnosioca pritužbe tokom razgovora bez svjedoka.</w:t>
      </w:r>
    </w:p>
    <w:p w:rsidR="005548BE" w:rsidRPr="005548BE" w:rsidRDefault="00B176C2" w:rsidP="00B176C2">
      <w:pPr>
        <w:tabs>
          <w:tab w:val="left" w:pos="7005"/>
          <w:tab w:val="right" w:pos="9360"/>
        </w:tabs>
        <w:rPr>
          <w:rFonts w:cs="Arial"/>
          <w:sz w:val="28"/>
          <w:szCs w:val="28"/>
        </w:rPr>
      </w:pPr>
      <w:r w:rsidRPr="005548BE">
        <w:rPr>
          <w:rFonts w:cs="Arial"/>
          <w:sz w:val="28"/>
          <w:szCs w:val="28"/>
        </w:rPr>
        <w:t>Tokom ove godine istekli su mandati članicama Komisije Slavici Vulanović i Tanji Bakalbašić</w:t>
      </w:r>
      <w:r w:rsidR="005548BE" w:rsidRPr="005548BE">
        <w:rPr>
          <w:rFonts w:cs="Arial"/>
          <w:sz w:val="28"/>
          <w:szCs w:val="28"/>
        </w:rPr>
        <w:t xml:space="preserve">,  i u toku je </w:t>
      </w:r>
      <w:r w:rsidR="002E725B">
        <w:rPr>
          <w:rFonts w:cs="Arial"/>
          <w:sz w:val="28"/>
          <w:szCs w:val="28"/>
        </w:rPr>
        <w:t>procedura za imenovanje novih č</w:t>
      </w:r>
      <w:r w:rsidR="005548BE" w:rsidRPr="005548BE">
        <w:rPr>
          <w:rFonts w:cs="Arial"/>
          <w:sz w:val="28"/>
          <w:szCs w:val="28"/>
        </w:rPr>
        <w:t>l</w:t>
      </w:r>
      <w:r w:rsidR="002E725B">
        <w:rPr>
          <w:rFonts w:cs="Arial"/>
          <w:sz w:val="28"/>
          <w:szCs w:val="28"/>
        </w:rPr>
        <w:t>a</w:t>
      </w:r>
      <w:r w:rsidR="005548BE" w:rsidRPr="005548BE">
        <w:rPr>
          <w:rFonts w:cs="Arial"/>
          <w:sz w:val="28"/>
          <w:szCs w:val="28"/>
        </w:rPr>
        <w:t>nova/ca Komisije.</w:t>
      </w:r>
      <w:r w:rsidRPr="005548BE">
        <w:rPr>
          <w:rFonts w:cs="Arial"/>
          <w:sz w:val="28"/>
          <w:szCs w:val="28"/>
        </w:rPr>
        <w:tab/>
      </w:r>
      <w:r w:rsidR="0093644E" w:rsidRPr="005548BE">
        <w:rPr>
          <w:rFonts w:cs="Arial"/>
          <w:sz w:val="28"/>
          <w:szCs w:val="28"/>
        </w:rPr>
        <w:tab/>
        <w:t xml:space="preserve">                                                                                                                                 </w:t>
      </w:r>
    </w:p>
    <w:p w:rsidR="005548BE" w:rsidRPr="005548BE" w:rsidRDefault="005548BE" w:rsidP="005548BE">
      <w:pPr>
        <w:rPr>
          <w:rFonts w:cs="Arial"/>
          <w:sz w:val="28"/>
          <w:szCs w:val="28"/>
        </w:rPr>
      </w:pPr>
    </w:p>
    <w:p w:rsidR="005548BE" w:rsidRPr="005548BE" w:rsidRDefault="005548BE" w:rsidP="005548BE">
      <w:pPr>
        <w:rPr>
          <w:rFonts w:cs="Arial"/>
          <w:sz w:val="28"/>
          <w:szCs w:val="28"/>
        </w:rPr>
      </w:pPr>
    </w:p>
    <w:p w:rsidR="005548BE" w:rsidRPr="002E725B" w:rsidRDefault="005548BE" w:rsidP="002E725B">
      <w:pPr>
        <w:tabs>
          <w:tab w:val="left" w:pos="6210"/>
        </w:tabs>
        <w:jc w:val="right"/>
        <w:rPr>
          <w:rFonts w:cs="Arial"/>
          <w:b/>
          <w:sz w:val="28"/>
          <w:szCs w:val="28"/>
        </w:rPr>
      </w:pPr>
      <w:r w:rsidRPr="005548BE">
        <w:rPr>
          <w:rFonts w:cs="Arial"/>
          <w:sz w:val="28"/>
          <w:szCs w:val="28"/>
        </w:rPr>
        <w:tab/>
      </w:r>
      <w:r w:rsidRPr="002E725B">
        <w:rPr>
          <w:rFonts w:cs="Arial"/>
          <w:b/>
          <w:sz w:val="28"/>
          <w:szCs w:val="28"/>
        </w:rPr>
        <w:t xml:space="preserve">PREDSJEDNICA </w:t>
      </w:r>
    </w:p>
    <w:p w:rsidR="004601D8" w:rsidRPr="002E725B" w:rsidRDefault="005548BE" w:rsidP="002E725B">
      <w:pPr>
        <w:tabs>
          <w:tab w:val="left" w:pos="6720"/>
        </w:tabs>
        <w:jc w:val="right"/>
        <w:rPr>
          <w:rFonts w:cs="Arial"/>
          <w:b/>
          <w:sz w:val="28"/>
          <w:szCs w:val="28"/>
        </w:rPr>
      </w:pPr>
      <w:r w:rsidRPr="002E725B">
        <w:rPr>
          <w:rFonts w:cs="Arial"/>
          <w:b/>
          <w:sz w:val="28"/>
          <w:szCs w:val="28"/>
        </w:rPr>
        <w:tab/>
        <w:t>mr Darka Ognjanović</w:t>
      </w:r>
    </w:p>
    <w:sectPr w:rsidR="004601D8" w:rsidRPr="002E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C11"/>
    <w:multiLevelType w:val="hybridMultilevel"/>
    <w:tmpl w:val="3BB2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6BE9"/>
    <w:multiLevelType w:val="hybridMultilevel"/>
    <w:tmpl w:val="3BB2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2569"/>
    <w:multiLevelType w:val="hybridMultilevel"/>
    <w:tmpl w:val="E43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5261"/>
    <w:multiLevelType w:val="hybridMultilevel"/>
    <w:tmpl w:val="0886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49"/>
    <w:rsid w:val="00050F45"/>
    <w:rsid w:val="000A7949"/>
    <w:rsid w:val="000F7AF0"/>
    <w:rsid w:val="00272F06"/>
    <w:rsid w:val="002E725B"/>
    <w:rsid w:val="0034765C"/>
    <w:rsid w:val="003D0764"/>
    <w:rsid w:val="004601D8"/>
    <w:rsid w:val="005548BE"/>
    <w:rsid w:val="005822CC"/>
    <w:rsid w:val="0064472D"/>
    <w:rsid w:val="0093644E"/>
    <w:rsid w:val="00B05924"/>
    <w:rsid w:val="00B176C2"/>
    <w:rsid w:val="00B657B4"/>
    <w:rsid w:val="00CD180B"/>
    <w:rsid w:val="00DF3D1B"/>
    <w:rsid w:val="00E225F6"/>
    <w:rsid w:val="00E347B1"/>
    <w:rsid w:val="00EB1955"/>
    <w:rsid w:val="00E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4E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364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93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93644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3D0764"/>
    <w:rPr>
      <w:rFonts w:cs="Myriad Pro Light"/>
      <w:b/>
      <w:bCs/>
      <w:color w:val="000000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4E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364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93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93644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3D0764"/>
    <w:rPr>
      <w:rFonts w:cs="Myriad Pro Light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8411-A39C-4A52-A3FA-9535AA40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darka.ognjanovic</dc:creator>
  <cp:lastModifiedBy>Ana Matijevic</cp:lastModifiedBy>
  <cp:revision>2</cp:revision>
  <cp:lastPrinted>2016-06-21T10:03:00Z</cp:lastPrinted>
  <dcterms:created xsi:type="dcterms:W3CDTF">2016-06-21T13:00:00Z</dcterms:created>
  <dcterms:modified xsi:type="dcterms:W3CDTF">2016-06-21T13:00:00Z</dcterms:modified>
</cp:coreProperties>
</file>