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dana_______2014.g,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417954">
        <w:rPr>
          <w:rFonts w:ascii="Arial" w:hAnsi="Arial" w:cs="Arial"/>
          <w:sz w:val="24"/>
          <w:szCs w:val="24"/>
          <w:lang w:val="hr-HR"/>
        </w:rPr>
        <w:t>društvene djelatnosti</w:t>
      </w:r>
    </w:p>
    <w:p w:rsidR="001B5063" w:rsidRDefault="00411490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1B5063" w:rsidRPr="00411490" w:rsidRDefault="00411490" w:rsidP="00411490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     </w:t>
      </w:r>
      <w:r w:rsidR="001B5063" w:rsidRPr="00411490">
        <w:rPr>
          <w:rFonts w:ascii="Arial" w:hAnsi="Arial" w:cs="Arial"/>
          <w:sz w:val="24"/>
          <w:szCs w:val="24"/>
          <w:lang w:val="sr-Latn-ME"/>
        </w:rPr>
        <w:t>Razrješava se</w:t>
      </w:r>
    </w:p>
    <w:p w:rsidR="001B5063" w:rsidRDefault="009F5C18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Ilija Janović</w:t>
      </w:r>
      <w:r w:rsidR="00947CC1">
        <w:rPr>
          <w:rFonts w:ascii="Arial" w:hAnsi="Arial" w:cs="Arial"/>
          <w:sz w:val="24"/>
          <w:szCs w:val="24"/>
          <w:lang w:val="sr-Latn-ME"/>
        </w:rPr>
        <w:t>, dužnosti člana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</w:t>
      </w:r>
      <w:r w:rsidR="00721BF0">
        <w:rPr>
          <w:rFonts w:ascii="Arial" w:hAnsi="Arial" w:cs="Arial"/>
          <w:sz w:val="24"/>
          <w:szCs w:val="24"/>
          <w:lang w:val="hr-HR"/>
        </w:rPr>
        <w:t xml:space="preserve">Odbora za </w:t>
      </w:r>
      <w:r w:rsidR="00417954">
        <w:rPr>
          <w:rFonts w:ascii="Arial" w:hAnsi="Arial" w:cs="Arial"/>
          <w:sz w:val="24"/>
          <w:szCs w:val="24"/>
          <w:lang w:val="hr-HR"/>
        </w:rPr>
        <w:t>društvene djelatnosti.</w:t>
      </w:r>
    </w:p>
    <w:p w:rsidR="00411490" w:rsidRDefault="00411490" w:rsidP="00721BF0">
      <w:pPr>
        <w:pStyle w:val="ListParagraph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411490" w:rsidRDefault="00411490" w:rsidP="00411490">
      <w:pPr>
        <w:pStyle w:val="ListParagraph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Član 2</w:t>
      </w:r>
    </w:p>
    <w:p w:rsidR="00411490" w:rsidRDefault="00411490" w:rsidP="00411490">
      <w:pPr>
        <w:pStyle w:val="ListParagraph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11490" w:rsidRDefault="00411490" w:rsidP="00411490">
      <w:pPr>
        <w:pStyle w:val="ListParagraph"/>
        <w:ind w:left="360"/>
        <w:rPr>
          <w:rFonts w:ascii="Arial" w:hAnsi="Arial" w:cs="Arial"/>
          <w:sz w:val="24"/>
          <w:szCs w:val="24"/>
          <w:lang w:val="sr-Latn-ME"/>
        </w:rPr>
      </w:pPr>
      <w:bookmarkStart w:id="0" w:name="_GoBack"/>
      <w:r>
        <w:rPr>
          <w:rFonts w:ascii="Arial" w:hAnsi="Arial" w:cs="Arial"/>
          <w:sz w:val="24"/>
          <w:szCs w:val="24"/>
          <w:lang w:val="sr-Latn-ME"/>
        </w:rPr>
        <w:t>Ova odluka stupa na snagu osam dana od dana objavljivanja u Sl.listu CG-opštinski propisi“</w:t>
      </w:r>
    </w:p>
    <w:bookmarkEnd w:id="0"/>
    <w:p w:rsidR="001B5063" w:rsidRDefault="001B5063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lastRenderedPageBreak/>
        <w:t xml:space="preserve">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Članom 5 Odluke o obrazovanju radnih tijela Skupštine, propisano je da mandat predsjednika i članova radnog tijela traje do prestanka mandata Skupštine, odnosno do dana razrješenja od dužnosti na koju su izabrani. Kako je </w:t>
      </w:r>
      <w:r w:rsidR="009F5C18">
        <w:rPr>
          <w:rFonts w:ascii="Arial" w:hAnsi="Arial" w:cs="Arial"/>
          <w:sz w:val="24"/>
          <w:szCs w:val="24"/>
          <w:lang w:val="sr-Latn-ME"/>
        </w:rPr>
        <w:t>Iliji Janoviću</w:t>
      </w:r>
      <w:r w:rsidR="005D031F">
        <w:rPr>
          <w:rFonts w:ascii="Arial" w:hAnsi="Arial" w:cs="Arial"/>
          <w:sz w:val="24"/>
          <w:szCs w:val="24"/>
          <w:lang w:val="sr-Latn-ME"/>
        </w:rPr>
        <w:t xml:space="preserve"> prestala funkcija 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>odbornik</w:t>
      </w:r>
      <w:r w:rsidR="005D031F">
        <w:rPr>
          <w:rFonts w:ascii="Arial" w:hAnsi="Arial" w:cs="Arial"/>
          <w:sz w:val="24"/>
          <w:szCs w:val="24"/>
          <w:lang w:val="sr-Latn-ME"/>
        </w:rPr>
        <w:t>a njegovim imenovanjem za potpredsjednika opštine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samim tim su prestala</w:t>
      </w:r>
      <w:r w:rsidR="00E205B1">
        <w:rPr>
          <w:rFonts w:ascii="Arial" w:hAnsi="Arial" w:cs="Arial"/>
          <w:sz w:val="24"/>
          <w:szCs w:val="24"/>
          <w:lang w:val="sr-Latn-ME"/>
        </w:rPr>
        <w:t xml:space="preserve"> i njegova članstva u Odborima, te su se stekli uslovi za njegovo razrješenje, pa se predlaže usvajanje ove odluke.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sectPr w:rsid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411490"/>
    <w:rsid w:val="00417954"/>
    <w:rsid w:val="004B7202"/>
    <w:rsid w:val="005D031F"/>
    <w:rsid w:val="00681E4B"/>
    <w:rsid w:val="007161C3"/>
    <w:rsid w:val="00721BF0"/>
    <w:rsid w:val="00913376"/>
    <w:rsid w:val="00947CC1"/>
    <w:rsid w:val="009F5C18"/>
    <w:rsid w:val="00B40ED7"/>
    <w:rsid w:val="00C323A1"/>
    <w:rsid w:val="00E2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14</cp:revision>
  <cp:lastPrinted>2014-07-03T05:55:00Z</cp:lastPrinted>
  <dcterms:created xsi:type="dcterms:W3CDTF">2016-08-08T10:43:00Z</dcterms:created>
  <dcterms:modified xsi:type="dcterms:W3CDTF">2016-08-12T15:39:00Z</dcterms:modified>
</cp:coreProperties>
</file>