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7C17BB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Nikola Popović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>
        <w:rPr>
          <w:rFonts w:ascii="Arial" w:hAnsi="Arial" w:cs="Arial"/>
          <w:sz w:val="24"/>
          <w:szCs w:val="24"/>
          <w:lang w:val="hr-HR"/>
        </w:rPr>
        <w:t xml:space="preserve"> finansije, privredu i ekonomski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1319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 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CF0FAD" w:rsidRDefault="00CF0FAD" w:rsidP="00CF0FAD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7C17BB">
        <w:rPr>
          <w:rFonts w:ascii="Arial" w:hAnsi="Arial" w:cs="Arial"/>
          <w:sz w:val="24"/>
          <w:szCs w:val="24"/>
        </w:rPr>
        <w:t>Nikoli Popoviću</w:t>
      </w:r>
      <w:r w:rsidR="00AB5D74">
        <w:rPr>
          <w:rFonts w:ascii="Arial" w:hAnsi="Arial" w:cs="Arial"/>
          <w:sz w:val="24"/>
          <w:szCs w:val="24"/>
        </w:rPr>
        <w:t xml:space="preserve"> prestala funkcija odbornika </w:t>
      </w:r>
      <w:r w:rsidR="007C17BB">
        <w:rPr>
          <w:rFonts w:ascii="Arial" w:hAnsi="Arial" w:cs="Arial"/>
          <w:sz w:val="24"/>
          <w:szCs w:val="24"/>
        </w:rPr>
        <w:t>stupanjem na novu funkciju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7C17BB">
        <w:rPr>
          <w:rFonts w:ascii="Arial" w:hAnsi="Arial" w:cs="Arial"/>
          <w:sz w:val="24"/>
          <w:szCs w:val="24"/>
        </w:rPr>
        <w:t xml:space="preserve">Nikole Popovića </w:t>
      </w:r>
      <w:r>
        <w:rPr>
          <w:rFonts w:ascii="Arial" w:hAnsi="Arial" w:cs="Arial"/>
          <w:sz w:val="24"/>
          <w:szCs w:val="24"/>
        </w:rPr>
        <w:t>imenuje_________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D91B4E">
        <w:rPr>
          <w:rFonts w:ascii="Arial" w:hAnsi="Arial" w:cs="Arial"/>
          <w:sz w:val="24"/>
          <w:szCs w:val="24"/>
        </w:rPr>
        <w:t xml:space="preserve"> finansije, privredu i razvoj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6901AA"/>
    <w:rsid w:val="007C17BB"/>
    <w:rsid w:val="008C4475"/>
    <w:rsid w:val="00A31319"/>
    <w:rsid w:val="00AB5D74"/>
    <w:rsid w:val="00CF0FAD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2017-03-28T11:53:00Z</dcterms:created>
  <dcterms:modified xsi:type="dcterms:W3CDTF">2017-03-28T13:15:00Z</dcterms:modified>
</cp:coreProperties>
</file>