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C438C" w:rsidTr="004C438C">
        <w:trPr>
          <w:trHeight w:val="6944"/>
        </w:trPr>
        <w:tc>
          <w:tcPr>
            <w:tcW w:w="9286" w:type="dxa"/>
          </w:tcPr>
          <w:p w:rsidR="004C438C" w:rsidRDefault="004C438C" w:rsidP="004C438C">
            <w:pPr>
              <w:jc w:val="center"/>
              <w:rPr>
                <w:b/>
                <w:sz w:val="24"/>
                <w:szCs w:val="24"/>
              </w:rPr>
            </w:pPr>
            <w:bookmarkStart w:id="0" w:name="_GoBack"/>
            <w:bookmarkEnd w:id="0"/>
            <w:r>
              <w:rPr>
                <w:b/>
                <w:noProof/>
                <w:sz w:val="24"/>
                <w:szCs w:val="24"/>
                <w:lang w:eastAsia="sr-Latn-ME"/>
              </w:rPr>
              <w:drawing>
                <wp:inline distT="0" distB="0" distL="0" distR="0" wp14:anchorId="63A037D9" wp14:editId="148B6596">
                  <wp:extent cx="2361703" cy="2053086"/>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ina - tiv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147" cy="2053472"/>
                          </a:xfrm>
                          <a:prstGeom prst="rect">
                            <a:avLst/>
                          </a:prstGeom>
                        </pic:spPr>
                      </pic:pic>
                    </a:graphicData>
                  </a:graphic>
                </wp:inline>
              </w:drawing>
            </w:r>
          </w:p>
        </w:tc>
      </w:tr>
      <w:tr w:rsidR="004C438C" w:rsidTr="004C438C">
        <w:trPr>
          <w:trHeight w:val="6078"/>
        </w:trPr>
        <w:tc>
          <w:tcPr>
            <w:tcW w:w="9286" w:type="dxa"/>
          </w:tcPr>
          <w:p w:rsidR="004C438C" w:rsidRPr="004C438C" w:rsidRDefault="004C438C" w:rsidP="004C438C">
            <w:pPr>
              <w:jc w:val="center"/>
              <w:rPr>
                <w:b/>
                <w:sz w:val="40"/>
              </w:rPr>
            </w:pPr>
            <w:r w:rsidRPr="004C438C">
              <w:rPr>
                <w:b/>
                <w:sz w:val="40"/>
              </w:rPr>
              <w:t xml:space="preserve">Plan poboljšanja energetske efikasnosti Opštine Tivat </w:t>
            </w:r>
          </w:p>
          <w:p w:rsidR="004C438C" w:rsidRPr="004C438C" w:rsidRDefault="004C438C" w:rsidP="004C438C">
            <w:pPr>
              <w:jc w:val="center"/>
              <w:rPr>
                <w:b/>
                <w:sz w:val="36"/>
              </w:rPr>
            </w:pPr>
            <w:r>
              <w:rPr>
                <w:b/>
                <w:sz w:val="40"/>
              </w:rPr>
              <w:t>z</w:t>
            </w:r>
            <w:r w:rsidRPr="004C438C">
              <w:rPr>
                <w:b/>
                <w:sz w:val="40"/>
              </w:rPr>
              <w:t xml:space="preserve">a 2018. </w:t>
            </w:r>
            <w:r>
              <w:rPr>
                <w:b/>
                <w:sz w:val="40"/>
              </w:rPr>
              <w:t>g</w:t>
            </w:r>
            <w:r w:rsidRPr="004C438C">
              <w:rPr>
                <w:b/>
                <w:sz w:val="40"/>
              </w:rPr>
              <w:t>odinu</w:t>
            </w:r>
          </w:p>
          <w:p w:rsidR="0007319B" w:rsidRDefault="0007319B">
            <w:pPr>
              <w:rPr>
                <w:b/>
                <w:sz w:val="24"/>
                <w:szCs w:val="24"/>
              </w:rPr>
            </w:pPr>
          </w:p>
          <w:p w:rsidR="0007319B" w:rsidRDefault="0007319B" w:rsidP="0007319B">
            <w:pPr>
              <w:rPr>
                <w:sz w:val="24"/>
                <w:szCs w:val="24"/>
              </w:rPr>
            </w:pPr>
          </w:p>
          <w:p w:rsidR="0007319B" w:rsidRDefault="00A57417" w:rsidP="0007319B">
            <w:pPr>
              <w:rPr>
                <w:sz w:val="24"/>
                <w:szCs w:val="24"/>
              </w:rPr>
            </w:pPr>
            <w:r w:rsidRPr="00A57417">
              <w:rPr>
                <w:b/>
                <w:noProof/>
                <w:sz w:val="40"/>
                <w:lang w:eastAsia="sr-Latn-ME"/>
              </w:rPr>
              <mc:AlternateContent>
                <mc:Choice Requires="wps">
                  <w:drawing>
                    <wp:anchor distT="0" distB="0" distL="114300" distR="114300" simplePos="0" relativeHeight="251659264" behindDoc="0" locked="0" layoutInCell="1" allowOverlap="1" wp14:anchorId="6475251A" wp14:editId="7D1D51EC">
                      <wp:simplePos x="0" y="0"/>
                      <wp:positionH relativeFrom="column">
                        <wp:posOffset>2152650</wp:posOffset>
                      </wp:positionH>
                      <wp:positionV relativeFrom="paragraph">
                        <wp:posOffset>88900</wp:posOffset>
                      </wp:positionV>
                      <wp:extent cx="1319530" cy="1403985"/>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403985"/>
                              </a:xfrm>
                              <a:prstGeom prst="rect">
                                <a:avLst/>
                              </a:prstGeom>
                              <a:solidFill>
                                <a:srgbClr val="FFFFFF"/>
                              </a:solidFill>
                              <a:ln w="9525">
                                <a:solidFill>
                                  <a:schemeClr val="tx2">
                                    <a:lumMod val="60000"/>
                                    <a:lumOff val="40000"/>
                                  </a:schemeClr>
                                </a:solidFill>
                                <a:miter lim="800000"/>
                                <a:headEnd/>
                                <a:tailEnd/>
                              </a:ln>
                            </wps:spPr>
                            <wps:txbx>
                              <w:txbxContent>
                                <w:p w:rsidR="00A57417" w:rsidRPr="00980196" w:rsidRDefault="00A57417" w:rsidP="00A57417">
                                  <w:pPr>
                                    <w:jc w:val="center"/>
                                    <w:rPr>
                                      <w:b/>
                                      <w:sz w:val="40"/>
                                    </w:rPr>
                                  </w:pPr>
                                  <w:r w:rsidRPr="00980196">
                                    <w:rPr>
                                      <w:b/>
                                      <w:sz w:val="40"/>
                                    </w:rPr>
                                    <w:t>PREDLOG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5251A" id="_x0000_t202" coordsize="21600,21600" o:spt="202" path="m,l,21600r21600,l21600,xe">
                      <v:stroke joinstyle="miter"/>
                      <v:path gradientshapeok="t" o:connecttype="rect"/>
                    </v:shapetype>
                    <v:shape id="Text Box 2" o:spid="_x0000_s1026" type="#_x0000_t202" style="position:absolute;margin-left:169.5pt;margin-top:7pt;width:10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" strokecolor="#548dd4 [1951]">
                      <v:textbox style="mso-fit-shape-to-text:t">
                        <w:txbxContent>
                          <w:p w:rsidR="00A57417" w:rsidRPr="00980196" w:rsidRDefault="00A57417" w:rsidP="00A57417">
                            <w:pPr>
                              <w:jc w:val="center"/>
                              <w:rPr>
                                <w:b/>
                                <w:sz w:val="40"/>
                              </w:rPr>
                            </w:pPr>
                            <w:r w:rsidRPr="00980196">
                              <w:rPr>
                                <w:b/>
                                <w:sz w:val="40"/>
                              </w:rPr>
                              <w:t>PREDLOG</w:t>
                            </w:r>
                          </w:p>
                        </w:txbxContent>
                      </v:textbox>
                    </v:shape>
                  </w:pict>
                </mc:Fallback>
              </mc:AlternateContent>
            </w:r>
          </w:p>
          <w:p w:rsidR="0007319B" w:rsidRDefault="0007319B" w:rsidP="0007319B">
            <w:pPr>
              <w:rPr>
                <w:sz w:val="24"/>
                <w:szCs w:val="24"/>
              </w:rPr>
            </w:pPr>
          </w:p>
          <w:p w:rsidR="004C438C" w:rsidRPr="0007319B" w:rsidRDefault="004C438C" w:rsidP="0007319B">
            <w:pPr>
              <w:rPr>
                <w:sz w:val="24"/>
                <w:szCs w:val="24"/>
              </w:rPr>
            </w:pPr>
          </w:p>
        </w:tc>
      </w:tr>
      <w:tr w:rsidR="004C438C" w:rsidRPr="004C438C" w:rsidTr="004C438C">
        <w:trPr>
          <w:trHeight w:val="111"/>
        </w:trPr>
        <w:tc>
          <w:tcPr>
            <w:tcW w:w="9286" w:type="dxa"/>
          </w:tcPr>
          <w:p w:rsidR="004C438C" w:rsidRPr="004C438C" w:rsidRDefault="004C438C" w:rsidP="00AD35C7">
            <w:pPr>
              <w:jc w:val="center"/>
              <w:rPr>
                <w:color w:val="808080" w:themeColor="background1" w:themeShade="80"/>
                <w:sz w:val="24"/>
                <w:szCs w:val="24"/>
              </w:rPr>
            </w:pPr>
            <w:r w:rsidRPr="004C438C">
              <w:rPr>
                <w:color w:val="808080" w:themeColor="background1" w:themeShade="80"/>
                <w:sz w:val="24"/>
                <w:szCs w:val="24"/>
              </w:rPr>
              <w:t xml:space="preserve">Sekretarijat za zaštitu životne sredine i energetsku efikasnost, </w:t>
            </w:r>
            <w:r w:rsidR="00AD35C7">
              <w:rPr>
                <w:color w:val="808080" w:themeColor="background1" w:themeShade="80"/>
                <w:sz w:val="24"/>
                <w:szCs w:val="24"/>
              </w:rPr>
              <w:t>februar</w:t>
            </w:r>
            <w:r w:rsidRPr="004C438C">
              <w:rPr>
                <w:color w:val="808080" w:themeColor="background1" w:themeShade="80"/>
                <w:sz w:val="24"/>
                <w:szCs w:val="24"/>
              </w:rPr>
              <w:t xml:space="preserve"> 2018. godine</w:t>
            </w:r>
          </w:p>
        </w:tc>
      </w:tr>
    </w:tbl>
    <w:p w:rsidR="004C438C" w:rsidRDefault="004C438C">
      <w:pPr>
        <w:rPr>
          <w:b/>
          <w:sz w:val="24"/>
          <w:szCs w:val="24"/>
        </w:rPr>
      </w:pPr>
      <w:r>
        <w:rPr>
          <w:b/>
          <w:sz w:val="24"/>
          <w:szCs w:val="24"/>
        </w:rPr>
        <w:br w:type="page"/>
      </w:r>
    </w:p>
    <w:sdt>
      <w:sdtPr>
        <w:rPr>
          <w:rFonts w:asciiTheme="minorHAnsi" w:eastAsiaTheme="minorHAnsi" w:hAnsiTheme="minorHAnsi" w:cstheme="minorBidi"/>
          <w:b w:val="0"/>
          <w:bCs w:val="0"/>
          <w:color w:val="auto"/>
          <w:sz w:val="22"/>
          <w:szCs w:val="22"/>
          <w:lang w:val="sr-Latn-ME" w:eastAsia="en-US"/>
        </w:rPr>
        <w:id w:val="175695768"/>
        <w:docPartObj>
          <w:docPartGallery w:val="Table of Contents"/>
          <w:docPartUnique/>
        </w:docPartObj>
      </w:sdtPr>
      <w:sdtEndPr>
        <w:rPr>
          <w:noProof/>
        </w:rPr>
      </w:sdtEndPr>
      <w:sdtContent>
        <w:p w:rsidR="0007319B" w:rsidRDefault="0007319B">
          <w:pPr>
            <w:pStyle w:val="TOCHeading"/>
          </w:pPr>
          <w:r>
            <w:t>SADRŽAJ:</w:t>
          </w:r>
        </w:p>
        <w:p w:rsidR="0007319B" w:rsidRPr="0007319B" w:rsidRDefault="0007319B" w:rsidP="0007319B">
          <w:pPr>
            <w:rPr>
              <w:lang w:val="en-US" w:eastAsia="ja-JP"/>
            </w:rPr>
          </w:pPr>
        </w:p>
        <w:p w:rsidR="0007319B" w:rsidRDefault="0007319B">
          <w:pPr>
            <w:pStyle w:val="TOC1"/>
            <w:tabs>
              <w:tab w:val="left" w:pos="440"/>
              <w:tab w:val="right" w:leader="dot" w:pos="9060"/>
            </w:tabs>
            <w:rPr>
              <w:noProof/>
            </w:rPr>
          </w:pPr>
          <w:r>
            <w:fldChar w:fldCharType="begin"/>
          </w:r>
          <w:r>
            <w:instrText xml:space="preserve"> TOC \o "1-3" \h \z \u </w:instrText>
          </w:r>
          <w:r>
            <w:fldChar w:fldCharType="separate"/>
          </w:r>
          <w:hyperlink w:anchor="_Toc506378281" w:history="1">
            <w:r w:rsidRPr="00C92116">
              <w:rPr>
                <w:rStyle w:val="Hyperlink"/>
                <w:noProof/>
              </w:rPr>
              <w:t>1.</w:t>
            </w:r>
            <w:r>
              <w:rPr>
                <w:noProof/>
              </w:rPr>
              <w:tab/>
            </w:r>
            <w:r w:rsidRPr="00C92116">
              <w:rPr>
                <w:rStyle w:val="Hyperlink"/>
                <w:noProof/>
              </w:rPr>
              <w:t>UVOD</w:t>
            </w:r>
            <w:r>
              <w:rPr>
                <w:noProof/>
                <w:webHidden/>
              </w:rPr>
              <w:tab/>
            </w:r>
            <w:r>
              <w:rPr>
                <w:noProof/>
                <w:webHidden/>
              </w:rPr>
              <w:fldChar w:fldCharType="begin"/>
            </w:r>
            <w:r>
              <w:rPr>
                <w:noProof/>
                <w:webHidden/>
              </w:rPr>
              <w:instrText xml:space="preserve"> PAGEREF _Toc506378281 \h </w:instrText>
            </w:r>
            <w:r>
              <w:rPr>
                <w:noProof/>
                <w:webHidden/>
              </w:rPr>
            </w:r>
            <w:r>
              <w:rPr>
                <w:noProof/>
                <w:webHidden/>
              </w:rPr>
              <w:fldChar w:fldCharType="separate"/>
            </w:r>
            <w:r w:rsidR="00980196">
              <w:rPr>
                <w:noProof/>
                <w:webHidden/>
              </w:rPr>
              <w:t>3</w:t>
            </w:r>
            <w:r>
              <w:rPr>
                <w:noProof/>
                <w:webHidden/>
              </w:rPr>
              <w:fldChar w:fldCharType="end"/>
            </w:r>
          </w:hyperlink>
        </w:p>
        <w:p w:rsidR="0007319B" w:rsidRDefault="00AA7224">
          <w:pPr>
            <w:pStyle w:val="TOC2"/>
            <w:tabs>
              <w:tab w:val="right" w:leader="dot" w:pos="9060"/>
            </w:tabs>
            <w:rPr>
              <w:noProof/>
            </w:rPr>
          </w:pPr>
          <w:hyperlink w:anchor="_Toc506378282" w:history="1">
            <w:r w:rsidR="0007319B" w:rsidRPr="00C92116">
              <w:rPr>
                <w:rStyle w:val="Hyperlink"/>
                <w:noProof/>
              </w:rPr>
              <w:t>1.1 Podaci o odgovornim licima</w:t>
            </w:r>
            <w:r w:rsidR="0007319B">
              <w:rPr>
                <w:noProof/>
                <w:webHidden/>
              </w:rPr>
              <w:tab/>
            </w:r>
            <w:r w:rsidR="0007319B">
              <w:rPr>
                <w:noProof/>
                <w:webHidden/>
              </w:rPr>
              <w:fldChar w:fldCharType="begin"/>
            </w:r>
            <w:r w:rsidR="0007319B">
              <w:rPr>
                <w:noProof/>
                <w:webHidden/>
              </w:rPr>
              <w:instrText xml:space="preserve"> PAGEREF _Toc506378282 \h </w:instrText>
            </w:r>
            <w:r w:rsidR="0007319B">
              <w:rPr>
                <w:noProof/>
                <w:webHidden/>
              </w:rPr>
            </w:r>
            <w:r w:rsidR="0007319B">
              <w:rPr>
                <w:noProof/>
                <w:webHidden/>
              </w:rPr>
              <w:fldChar w:fldCharType="separate"/>
            </w:r>
            <w:r w:rsidR="00980196">
              <w:rPr>
                <w:noProof/>
                <w:webHidden/>
              </w:rPr>
              <w:t>4</w:t>
            </w:r>
            <w:r w:rsidR="0007319B">
              <w:rPr>
                <w:noProof/>
                <w:webHidden/>
              </w:rPr>
              <w:fldChar w:fldCharType="end"/>
            </w:r>
          </w:hyperlink>
        </w:p>
        <w:p w:rsidR="0007319B" w:rsidRDefault="00AA7224">
          <w:pPr>
            <w:pStyle w:val="TOC1"/>
            <w:tabs>
              <w:tab w:val="left" w:pos="440"/>
              <w:tab w:val="right" w:leader="dot" w:pos="9060"/>
            </w:tabs>
            <w:rPr>
              <w:noProof/>
            </w:rPr>
          </w:pPr>
          <w:hyperlink w:anchor="_Toc506378283" w:history="1">
            <w:r w:rsidR="0007319B" w:rsidRPr="00C92116">
              <w:rPr>
                <w:rStyle w:val="Hyperlink"/>
                <w:noProof/>
              </w:rPr>
              <w:t>2.</w:t>
            </w:r>
            <w:r w:rsidR="0007319B">
              <w:rPr>
                <w:noProof/>
              </w:rPr>
              <w:tab/>
            </w:r>
            <w:r w:rsidR="0007319B" w:rsidRPr="00C92116">
              <w:rPr>
                <w:rStyle w:val="Hyperlink"/>
                <w:noProof/>
              </w:rPr>
              <w:t>CILJEVI GODIŠNJEG PLANA POBOLJŠANJA ENERGETSKE EFIKASNOSTI</w:t>
            </w:r>
            <w:r w:rsidR="0007319B">
              <w:rPr>
                <w:noProof/>
                <w:webHidden/>
              </w:rPr>
              <w:tab/>
            </w:r>
            <w:r w:rsidR="0007319B">
              <w:rPr>
                <w:noProof/>
                <w:webHidden/>
              </w:rPr>
              <w:fldChar w:fldCharType="begin"/>
            </w:r>
            <w:r w:rsidR="0007319B">
              <w:rPr>
                <w:noProof/>
                <w:webHidden/>
              </w:rPr>
              <w:instrText xml:space="preserve"> PAGEREF _Toc506378283 \h </w:instrText>
            </w:r>
            <w:r w:rsidR="0007319B">
              <w:rPr>
                <w:noProof/>
                <w:webHidden/>
              </w:rPr>
            </w:r>
            <w:r w:rsidR="0007319B">
              <w:rPr>
                <w:noProof/>
                <w:webHidden/>
              </w:rPr>
              <w:fldChar w:fldCharType="separate"/>
            </w:r>
            <w:r w:rsidR="00980196">
              <w:rPr>
                <w:noProof/>
                <w:webHidden/>
              </w:rPr>
              <w:t>5</w:t>
            </w:r>
            <w:r w:rsidR="0007319B">
              <w:rPr>
                <w:noProof/>
                <w:webHidden/>
              </w:rPr>
              <w:fldChar w:fldCharType="end"/>
            </w:r>
          </w:hyperlink>
        </w:p>
        <w:p w:rsidR="0007319B" w:rsidRDefault="00AA7224">
          <w:pPr>
            <w:pStyle w:val="TOC2"/>
            <w:tabs>
              <w:tab w:val="right" w:leader="dot" w:pos="9060"/>
            </w:tabs>
            <w:rPr>
              <w:noProof/>
            </w:rPr>
          </w:pPr>
          <w:hyperlink w:anchor="_Toc506378284" w:history="1">
            <w:r w:rsidR="0007319B" w:rsidRPr="00C92116">
              <w:rPr>
                <w:rStyle w:val="Hyperlink"/>
                <w:noProof/>
              </w:rPr>
              <w:t>2.1 Postojeći okvir – osnovne informacije za plan</w:t>
            </w:r>
            <w:r w:rsidR="0007319B">
              <w:rPr>
                <w:noProof/>
                <w:webHidden/>
              </w:rPr>
              <w:tab/>
            </w:r>
            <w:r w:rsidR="0007319B">
              <w:rPr>
                <w:noProof/>
                <w:webHidden/>
              </w:rPr>
              <w:fldChar w:fldCharType="begin"/>
            </w:r>
            <w:r w:rsidR="0007319B">
              <w:rPr>
                <w:noProof/>
                <w:webHidden/>
              </w:rPr>
              <w:instrText xml:space="preserve"> PAGEREF _Toc506378284 \h </w:instrText>
            </w:r>
            <w:r w:rsidR="0007319B">
              <w:rPr>
                <w:noProof/>
                <w:webHidden/>
              </w:rPr>
            </w:r>
            <w:r w:rsidR="0007319B">
              <w:rPr>
                <w:noProof/>
                <w:webHidden/>
              </w:rPr>
              <w:fldChar w:fldCharType="separate"/>
            </w:r>
            <w:r w:rsidR="00980196">
              <w:rPr>
                <w:noProof/>
                <w:webHidden/>
              </w:rPr>
              <w:t>5</w:t>
            </w:r>
            <w:r w:rsidR="0007319B">
              <w:rPr>
                <w:noProof/>
                <w:webHidden/>
              </w:rPr>
              <w:fldChar w:fldCharType="end"/>
            </w:r>
          </w:hyperlink>
        </w:p>
        <w:p w:rsidR="0007319B" w:rsidRDefault="00AA7224">
          <w:pPr>
            <w:pStyle w:val="TOC2"/>
            <w:tabs>
              <w:tab w:val="right" w:leader="dot" w:pos="9060"/>
            </w:tabs>
            <w:rPr>
              <w:noProof/>
            </w:rPr>
          </w:pPr>
          <w:hyperlink w:anchor="_Toc506378285" w:history="1">
            <w:r w:rsidR="0007319B" w:rsidRPr="00C92116">
              <w:rPr>
                <w:rStyle w:val="Hyperlink"/>
                <w:noProof/>
              </w:rPr>
              <w:t>2.2 Ciljevi godišnjeg plana poboljšanja energetske efikasnosti</w:t>
            </w:r>
            <w:r w:rsidR="0007319B">
              <w:rPr>
                <w:noProof/>
                <w:webHidden/>
              </w:rPr>
              <w:tab/>
            </w:r>
            <w:r w:rsidR="0007319B">
              <w:rPr>
                <w:noProof/>
                <w:webHidden/>
              </w:rPr>
              <w:fldChar w:fldCharType="begin"/>
            </w:r>
            <w:r w:rsidR="0007319B">
              <w:rPr>
                <w:noProof/>
                <w:webHidden/>
              </w:rPr>
              <w:instrText xml:space="preserve"> PAGEREF _Toc506378285 \h </w:instrText>
            </w:r>
            <w:r w:rsidR="0007319B">
              <w:rPr>
                <w:noProof/>
                <w:webHidden/>
              </w:rPr>
            </w:r>
            <w:r w:rsidR="0007319B">
              <w:rPr>
                <w:noProof/>
                <w:webHidden/>
              </w:rPr>
              <w:fldChar w:fldCharType="separate"/>
            </w:r>
            <w:r w:rsidR="00980196">
              <w:rPr>
                <w:noProof/>
                <w:webHidden/>
              </w:rPr>
              <w:t>6</w:t>
            </w:r>
            <w:r w:rsidR="0007319B">
              <w:rPr>
                <w:noProof/>
                <w:webHidden/>
              </w:rPr>
              <w:fldChar w:fldCharType="end"/>
            </w:r>
          </w:hyperlink>
        </w:p>
        <w:p w:rsidR="0007319B" w:rsidRDefault="00AA7224">
          <w:pPr>
            <w:pStyle w:val="TOC1"/>
            <w:tabs>
              <w:tab w:val="left" w:pos="440"/>
              <w:tab w:val="right" w:leader="dot" w:pos="9060"/>
            </w:tabs>
            <w:rPr>
              <w:noProof/>
            </w:rPr>
          </w:pPr>
          <w:hyperlink w:anchor="_Toc506378286" w:history="1">
            <w:r w:rsidR="0007319B" w:rsidRPr="00C92116">
              <w:rPr>
                <w:rStyle w:val="Hyperlink"/>
                <w:noProof/>
              </w:rPr>
              <w:t>3.</w:t>
            </w:r>
            <w:r w:rsidR="0007319B">
              <w:rPr>
                <w:noProof/>
              </w:rPr>
              <w:tab/>
            </w:r>
            <w:r w:rsidR="0007319B" w:rsidRPr="00C92116">
              <w:rPr>
                <w:rStyle w:val="Hyperlink"/>
                <w:noProof/>
              </w:rPr>
              <w:t>PLANIRANE MJERE ZA POBOLJŠANJE ENERGETSKE EFIKASNOSTI</w:t>
            </w:r>
            <w:r w:rsidR="0007319B">
              <w:rPr>
                <w:noProof/>
                <w:webHidden/>
              </w:rPr>
              <w:tab/>
            </w:r>
            <w:r w:rsidR="0007319B">
              <w:rPr>
                <w:noProof/>
                <w:webHidden/>
              </w:rPr>
              <w:fldChar w:fldCharType="begin"/>
            </w:r>
            <w:r w:rsidR="0007319B">
              <w:rPr>
                <w:noProof/>
                <w:webHidden/>
              </w:rPr>
              <w:instrText xml:space="preserve"> PAGEREF _Toc506378286 \h </w:instrText>
            </w:r>
            <w:r w:rsidR="0007319B">
              <w:rPr>
                <w:noProof/>
                <w:webHidden/>
              </w:rPr>
            </w:r>
            <w:r w:rsidR="0007319B">
              <w:rPr>
                <w:noProof/>
                <w:webHidden/>
              </w:rPr>
              <w:fldChar w:fldCharType="separate"/>
            </w:r>
            <w:r w:rsidR="00980196">
              <w:rPr>
                <w:noProof/>
                <w:webHidden/>
              </w:rPr>
              <w:t>8</w:t>
            </w:r>
            <w:r w:rsidR="0007319B">
              <w:rPr>
                <w:noProof/>
                <w:webHidden/>
              </w:rPr>
              <w:fldChar w:fldCharType="end"/>
            </w:r>
          </w:hyperlink>
        </w:p>
        <w:p w:rsidR="0007319B" w:rsidRDefault="00AA7224">
          <w:pPr>
            <w:pStyle w:val="TOC1"/>
            <w:tabs>
              <w:tab w:val="left" w:pos="440"/>
              <w:tab w:val="right" w:leader="dot" w:pos="9060"/>
            </w:tabs>
            <w:rPr>
              <w:noProof/>
            </w:rPr>
          </w:pPr>
          <w:hyperlink w:anchor="_Toc506378287" w:history="1">
            <w:r w:rsidR="0007319B" w:rsidRPr="00C92116">
              <w:rPr>
                <w:rStyle w:val="Hyperlink"/>
                <w:noProof/>
              </w:rPr>
              <w:t>4.</w:t>
            </w:r>
            <w:r w:rsidR="0007319B">
              <w:rPr>
                <w:noProof/>
              </w:rPr>
              <w:tab/>
            </w:r>
            <w:r w:rsidR="0007319B" w:rsidRPr="00C92116">
              <w:rPr>
                <w:rStyle w:val="Hyperlink"/>
                <w:noProof/>
              </w:rPr>
              <w:t>PROCJENJENI TROŠKOVI GODIŠNJEG PLANA POBOLJŠANJA ENERGETSKE EFIKASNOSTI I OČEKIVANE UŠTEDE</w:t>
            </w:r>
            <w:r w:rsidR="0007319B">
              <w:rPr>
                <w:noProof/>
                <w:webHidden/>
              </w:rPr>
              <w:tab/>
            </w:r>
            <w:r w:rsidR="0007319B">
              <w:rPr>
                <w:noProof/>
                <w:webHidden/>
              </w:rPr>
              <w:fldChar w:fldCharType="begin"/>
            </w:r>
            <w:r w:rsidR="0007319B">
              <w:rPr>
                <w:noProof/>
                <w:webHidden/>
              </w:rPr>
              <w:instrText xml:space="preserve"> PAGEREF _Toc506378287 \h </w:instrText>
            </w:r>
            <w:r w:rsidR="0007319B">
              <w:rPr>
                <w:noProof/>
                <w:webHidden/>
              </w:rPr>
            </w:r>
            <w:r w:rsidR="0007319B">
              <w:rPr>
                <w:noProof/>
                <w:webHidden/>
              </w:rPr>
              <w:fldChar w:fldCharType="separate"/>
            </w:r>
            <w:r w:rsidR="00980196">
              <w:rPr>
                <w:noProof/>
                <w:webHidden/>
              </w:rPr>
              <w:t>15</w:t>
            </w:r>
            <w:r w:rsidR="0007319B">
              <w:rPr>
                <w:noProof/>
                <w:webHidden/>
              </w:rPr>
              <w:fldChar w:fldCharType="end"/>
            </w:r>
          </w:hyperlink>
        </w:p>
        <w:p w:rsidR="0007319B" w:rsidRDefault="00AA7224">
          <w:pPr>
            <w:pStyle w:val="TOC1"/>
            <w:tabs>
              <w:tab w:val="left" w:pos="440"/>
              <w:tab w:val="right" w:leader="dot" w:pos="9060"/>
            </w:tabs>
            <w:rPr>
              <w:noProof/>
            </w:rPr>
          </w:pPr>
          <w:hyperlink w:anchor="_Toc506378288" w:history="1">
            <w:r w:rsidR="0007319B" w:rsidRPr="00C92116">
              <w:rPr>
                <w:rStyle w:val="Hyperlink"/>
                <w:noProof/>
              </w:rPr>
              <w:t>5.</w:t>
            </w:r>
            <w:r w:rsidR="0007319B">
              <w:rPr>
                <w:noProof/>
              </w:rPr>
              <w:tab/>
            </w:r>
            <w:r w:rsidR="0007319B" w:rsidRPr="00C92116">
              <w:rPr>
                <w:rStyle w:val="Hyperlink"/>
                <w:noProof/>
              </w:rPr>
              <w:t>FINANSIJSKI PLAN</w:t>
            </w:r>
            <w:r w:rsidR="0007319B">
              <w:rPr>
                <w:noProof/>
                <w:webHidden/>
              </w:rPr>
              <w:tab/>
            </w:r>
            <w:r w:rsidR="0007319B">
              <w:rPr>
                <w:noProof/>
                <w:webHidden/>
              </w:rPr>
              <w:fldChar w:fldCharType="begin"/>
            </w:r>
            <w:r w:rsidR="0007319B">
              <w:rPr>
                <w:noProof/>
                <w:webHidden/>
              </w:rPr>
              <w:instrText xml:space="preserve"> PAGEREF _Toc506378288 \h </w:instrText>
            </w:r>
            <w:r w:rsidR="0007319B">
              <w:rPr>
                <w:noProof/>
                <w:webHidden/>
              </w:rPr>
            </w:r>
            <w:r w:rsidR="0007319B">
              <w:rPr>
                <w:noProof/>
                <w:webHidden/>
              </w:rPr>
              <w:fldChar w:fldCharType="separate"/>
            </w:r>
            <w:r w:rsidR="00980196">
              <w:rPr>
                <w:noProof/>
                <w:webHidden/>
              </w:rPr>
              <w:t>17</w:t>
            </w:r>
            <w:r w:rsidR="0007319B">
              <w:rPr>
                <w:noProof/>
                <w:webHidden/>
              </w:rPr>
              <w:fldChar w:fldCharType="end"/>
            </w:r>
          </w:hyperlink>
        </w:p>
        <w:p w:rsidR="0007319B" w:rsidRDefault="0007319B">
          <w:r>
            <w:rPr>
              <w:b/>
              <w:bCs/>
              <w:noProof/>
            </w:rPr>
            <w:fldChar w:fldCharType="end"/>
          </w:r>
        </w:p>
      </w:sdtContent>
    </w:sdt>
    <w:p w:rsidR="0007319B" w:rsidRDefault="0007319B" w:rsidP="0007319B">
      <w:pPr>
        <w:pStyle w:val="Heading1"/>
        <w:ind w:left="720"/>
      </w:pPr>
    </w:p>
    <w:p w:rsidR="0007319B" w:rsidRDefault="0007319B">
      <w:pPr>
        <w:rPr>
          <w:rFonts w:asciiTheme="majorHAnsi" w:eastAsiaTheme="majorEastAsia" w:hAnsiTheme="majorHAnsi" w:cstheme="majorBidi"/>
          <w:b/>
          <w:bCs/>
          <w:color w:val="365F91" w:themeColor="accent1" w:themeShade="BF"/>
          <w:sz w:val="28"/>
          <w:szCs w:val="28"/>
        </w:rPr>
      </w:pPr>
      <w:bookmarkStart w:id="1" w:name="_Toc506378281"/>
      <w:r>
        <w:br w:type="page"/>
      </w:r>
    </w:p>
    <w:p w:rsidR="008E7BAE" w:rsidRPr="0007319B" w:rsidRDefault="00A36E0F" w:rsidP="0007319B">
      <w:pPr>
        <w:pStyle w:val="Heading1"/>
        <w:numPr>
          <w:ilvl w:val="0"/>
          <w:numId w:val="18"/>
        </w:numPr>
      </w:pPr>
      <w:r w:rsidRPr="0007319B">
        <w:lastRenderedPageBreak/>
        <w:t>UVOD</w:t>
      </w:r>
      <w:bookmarkEnd w:id="1"/>
    </w:p>
    <w:p w:rsidR="009C425C" w:rsidRPr="009C425C" w:rsidRDefault="009C425C" w:rsidP="009C425C">
      <w:pPr>
        <w:ind w:firstLine="426"/>
        <w:jc w:val="both"/>
        <w:rPr>
          <w:sz w:val="24"/>
          <w:szCs w:val="24"/>
        </w:rPr>
      </w:pPr>
      <w:r w:rsidRPr="009C425C">
        <w:rPr>
          <w:sz w:val="24"/>
          <w:szCs w:val="24"/>
        </w:rPr>
        <w:t>Na osnovu člana 1</w:t>
      </w:r>
      <w:r>
        <w:rPr>
          <w:sz w:val="24"/>
          <w:szCs w:val="24"/>
        </w:rPr>
        <w:t>4</w:t>
      </w:r>
      <w:r w:rsidRPr="009C425C">
        <w:rPr>
          <w:sz w:val="24"/>
          <w:szCs w:val="24"/>
        </w:rPr>
        <w:t xml:space="preserve"> Zakona o efikasnom korišćenju energije (</w:t>
      </w:r>
      <w:r w:rsidRPr="009C425C">
        <w:rPr>
          <w:i/>
          <w:sz w:val="24"/>
          <w:szCs w:val="24"/>
        </w:rPr>
        <w:t>„Sl. list Crne Gore“, broj 57/14</w:t>
      </w:r>
      <w:r w:rsidRPr="009C425C">
        <w:rPr>
          <w:sz w:val="24"/>
          <w:szCs w:val="24"/>
        </w:rPr>
        <w:t xml:space="preserve">) jedinica lokalne samouprave dužna je da </w:t>
      </w:r>
      <w:r>
        <w:rPr>
          <w:sz w:val="24"/>
          <w:szCs w:val="24"/>
        </w:rPr>
        <w:t>donese</w:t>
      </w:r>
      <w:r w:rsidRPr="009C425C">
        <w:rPr>
          <w:sz w:val="24"/>
          <w:szCs w:val="24"/>
        </w:rPr>
        <w:t xml:space="preserve"> </w:t>
      </w:r>
      <w:r>
        <w:rPr>
          <w:sz w:val="24"/>
          <w:szCs w:val="24"/>
        </w:rPr>
        <w:t xml:space="preserve">Plan </w:t>
      </w:r>
      <w:r w:rsidRPr="009C425C">
        <w:rPr>
          <w:sz w:val="24"/>
          <w:szCs w:val="24"/>
        </w:rPr>
        <w:t>poboljšanja energetske efikasnosti</w:t>
      </w:r>
      <w:r>
        <w:rPr>
          <w:sz w:val="24"/>
          <w:szCs w:val="24"/>
        </w:rPr>
        <w:t xml:space="preserve"> (u daljem tekstu Plan)</w:t>
      </w:r>
      <w:r w:rsidRPr="009C425C">
        <w:rPr>
          <w:sz w:val="24"/>
          <w:szCs w:val="24"/>
        </w:rPr>
        <w:t xml:space="preserve"> i isti podnese Ministarstvu ekonomije, najkasnije do </w:t>
      </w:r>
      <w:r>
        <w:rPr>
          <w:sz w:val="24"/>
          <w:szCs w:val="24"/>
        </w:rPr>
        <w:t>3</w:t>
      </w:r>
      <w:r w:rsidRPr="009C425C">
        <w:rPr>
          <w:sz w:val="24"/>
          <w:szCs w:val="24"/>
        </w:rPr>
        <w:t>1. marta tekuće</w:t>
      </w:r>
      <w:r>
        <w:rPr>
          <w:sz w:val="24"/>
          <w:szCs w:val="24"/>
        </w:rPr>
        <w:t>.</w:t>
      </w:r>
    </w:p>
    <w:p w:rsidR="009C425C" w:rsidRDefault="009C425C" w:rsidP="009C425C">
      <w:pPr>
        <w:ind w:firstLine="426"/>
        <w:jc w:val="both"/>
        <w:rPr>
          <w:sz w:val="24"/>
          <w:szCs w:val="24"/>
        </w:rPr>
      </w:pPr>
      <w:r w:rsidRPr="009C425C">
        <w:rPr>
          <w:sz w:val="24"/>
          <w:szCs w:val="24"/>
        </w:rPr>
        <w:t>Odlukom o organizaciji i načinu rada lokalne uprave Opštine Tivat („Sl. list Crne Gore – opštinski propisi“, br. 36/16, 18/16) član 13, Sekretarijat za zaštitu životne sredine i energetsku efikasnost (u daljem tekstu Sekretarijat) je nadležan za obavljanje poslova iz oblasti energetske efikasnosti.</w:t>
      </w:r>
    </w:p>
    <w:p w:rsidR="004A212C" w:rsidRDefault="004A212C" w:rsidP="003C22D5">
      <w:pPr>
        <w:ind w:firstLine="426"/>
        <w:jc w:val="both"/>
        <w:rPr>
          <w:sz w:val="24"/>
          <w:szCs w:val="24"/>
        </w:rPr>
      </w:pPr>
      <w:r w:rsidRPr="004A212C">
        <w:rPr>
          <w:sz w:val="24"/>
          <w:szCs w:val="24"/>
        </w:rPr>
        <w:t>Plan definiše mjere koje će biti prioritetno realizovane tokom 201</w:t>
      </w:r>
      <w:r w:rsidR="00D801B8">
        <w:rPr>
          <w:sz w:val="24"/>
          <w:szCs w:val="24"/>
        </w:rPr>
        <w:t>8</w:t>
      </w:r>
      <w:r w:rsidRPr="004A212C">
        <w:rPr>
          <w:sz w:val="24"/>
          <w:szCs w:val="24"/>
        </w:rPr>
        <w:t xml:space="preserve">. </w:t>
      </w:r>
      <w:r>
        <w:rPr>
          <w:sz w:val="24"/>
          <w:szCs w:val="24"/>
        </w:rPr>
        <w:t>g</w:t>
      </w:r>
      <w:r w:rsidRPr="004A212C">
        <w:rPr>
          <w:sz w:val="24"/>
          <w:szCs w:val="24"/>
        </w:rPr>
        <w:t>odine radi implementacije trogodišnjeg Programa poboljšanja energetske efikasnosti za period 201</w:t>
      </w:r>
      <w:r w:rsidR="00D801B8">
        <w:rPr>
          <w:sz w:val="24"/>
          <w:szCs w:val="24"/>
        </w:rPr>
        <w:t>8</w:t>
      </w:r>
      <w:r w:rsidRPr="004A212C">
        <w:rPr>
          <w:sz w:val="24"/>
          <w:szCs w:val="24"/>
        </w:rPr>
        <w:t>-20</w:t>
      </w:r>
      <w:r w:rsidR="00D801B8">
        <w:rPr>
          <w:sz w:val="24"/>
          <w:szCs w:val="24"/>
        </w:rPr>
        <w:t>20</w:t>
      </w:r>
      <w:r w:rsidRPr="004A212C">
        <w:rPr>
          <w:sz w:val="24"/>
          <w:szCs w:val="24"/>
        </w:rPr>
        <w:t xml:space="preserve"> godine</w:t>
      </w:r>
      <w:r w:rsidR="00A64107">
        <w:rPr>
          <w:sz w:val="24"/>
          <w:szCs w:val="24"/>
        </w:rPr>
        <w:t xml:space="preserve"> („</w:t>
      </w:r>
      <w:r w:rsidR="00A64107" w:rsidRPr="00A64107">
        <w:rPr>
          <w:i/>
          <w:sz w:val="24"/>
          <w:szCs w:val="24"/>
        </w:rPr>
        <w:t>Sl.</w:t>
      </w:r>
      <w:r w:rsidR="00A64107">
        <w:rPr>
          <w:i/>
          <w:sz w:val="24"/>
          <w:szCs w:val="24"/>
        </w:rPr>
        <w:t xml:space="preserve"> list</w:t>
      </w:r>
      <w:r w:rsidR="00A64107" w:rsidRPr="00A64107">
        <w:rPr>
          <w:i/>
          <w:sz w:val="24"/>
          <w:szCs w:val="24"/>
        </w:rPr>
        <w:t xml:space="preserve"> CG</w:t>
      </w:r>
      <w:r w:rsidR="00A64107">
        <w:rPr>
          <w:i/>
          <w:sz w:val="24"/>
          <w:szCs w:val="24"/>
        </w:rPr>
        <w:t>“</w:t>
      </w:r>
      <w:r w:rsidR="00A64107" w:rsidRPr="00A64107">
        <w:rPr>
          <w:i/>
          <w:sz w:val="24"/>
          <w:szCs w:val="24"/>
        </w:rPr>
        <w:t xml:space="preserve"> br. 55/17</w:t>
      </w:r>
      <w:r w:rsidR="00A64107">
        <w:rPr>
          <w:sz w:val="24"/>
          <w:szCs w:val="24"/>
        </w:rPr>
        <w:t>)</w:t>
      </w:r>
      <w:r w:rsidRPr="004A212C">
        <w:rPr>
          <w:sz w:val="24"/>
          <w:szCs w:val="24"/>
        </w:rPr>
        <w:t xml:space="preserve">, </w:t>
      </w:r>
      <w:r w:rsidR="00BB52E9">
        <w:rPr>
          <w:sz w:val="24"/>
          <w:szCs w:val="24"/>
        </w:rPr>
        <w:t xml:space="preserve">a </w:t>
      </w:r>
      <w:r w:rsidRPr="004A212C">
        <w:rPr>
          <w:sz w:val="24"/>
          <w:szCs w:val="24"/>
        </w:rPr>
        <w:t>u skladu sa odredbama člana 14 Zakona o efikasnom korišćenju energije</w:t>
      </w:r>
      <w:r w:rsidR="00BB52E9">
        <w:rPr>
          <w:sz w:val="24"/>
          <w:szCs w:val="24"/>
        </w:rPr>
        <w:t xml:space="preserve"> („Sl.list CG</w:t>
      </w:r>
      <w:r w:rsidR="00A64107">
        <w:rPr>
          <w:sz w:val="24"/>
          <w:szCs w:val="24"/>
        </w:rPr>
        <w:t>“</w:t>
      </w:r>
      <w:r w:rsidR="00BB52E9">
        <w:rPr>
          <w:sz w:val="24"/>
          <w:szCs w:val="24"/>
        </w:rPr>
        <w:t xml:space="preserve"> broj 52/14)</w:t>
      </w:r>
      <w:r w:rsidRPr="004A212C">
        <w:rPr>
          <w:sz w:val="24"/>
          <w:szCs w:val="24"/>
        </w:rPr>
        <w:t>.</w:t>
      </w:r>
    </w:p>
    <w:p w:rsidR="00BA0714" w:rsidRDefault="00506849" w:rsidP="003C22D5">
      <w:pPr>
        <w:ind w:firstLine="426"/>
        <w:jc w:val="both"/>
        <w:rPr>
          <w:sz w:val="24"/>
          <w:szCs w:val="24"/>
        </w:rPr>
      </w:pPr>
      <w:r>
        <w:rPr>
          <w:sz w:val="24"/>
          <w:szCs w:val="24"/>
        </w:rPr>
        <w:t xml:space="preserve">Za potrebe izrade </w:t>
      </w:r>
      <w:r w:rsidR="009C425C">
        <w:rPr>
          <w:sz w:val="24"/>
          <w:szCs w:val="24"/>
        </w:rPr>
        <w:t xml:space="preserve"> Plana korišćene su i informacije dobijene od strane</w:t>
      </w:r>
      <w:r w:rsidR="00BA0714">
        <w:rPr>
          <w:sz w:val="24"/>
          <w:szCs w:val="24"/>
        </w:rPr>
        <w:t>:</w:t>
      </w:r>
      <w:r w:rsidR="009C425C">
        <w:rPr>
          <w:sz w:val="24"/>
          <w:szCs w:val="24"/>
        </w:rPr>
        <w:t xml:space="preserve"> Sekretarijata za ekonomski razvoj i preduzetništvo, Direkcije za investicije, d.o.o. Komunalno, </w:t>
      </w:r>
      <w:r>
        <w:rPr>
          <w:sz w:val="24"/>
          <w:szCs w:val="24"/>
        </w:rPr>
        <w:t xml:space="preserve">d.o.o. Vodovod i kanalizacija, Turistička organizacija Tivat i </w:t>
      </w:r>
      <w:r w:rsidRPr="00BA0714">
        <w:rPr>
          <w:sz w:val="24"/>
          <w:szCs w:val="24"/>
        </w:rPr>
        <w:t>menadžera opštine Tivat</w:t>
      </w:r>
      <w:r w:rsidR="00BA0714" w:rsidRPr="00BA0714">
        <w:rPr>
          <w:sz w:val="24"/>
          <w:szCs w:val="24"/>
        </w:rPr>
        <w:t>.</w:t>
      </w:r>
    </w:p>
    <w:p w:rsidR="00DE7EFF" w:rsidRPr="00181819" w:rsidRDefault="00DE7EFF" w:rsidP="003C22D5">
      <w:pPr>
        <w:ind w:firstLine="426"/>
        <w:jc w:val="both"/>
        <w:rPr>
          <w:sz w:val="24"/>
          <w:szCs w:val="24"/>
        </w:rPr>
      </w:pPr>
      <w:r>
        <w:rPr>
          <w:sz w:val="24"/>
          <w:szCs w:val="24"/>
        </w:rPr>
        <w:t>Plan u većoj mjeri predstavlja nastavak realizacije aktivnosti iz Plana poboljšanja e</w:t>
      </w:r>
      <w:r w:rsidR="00BB52E9">
        <w:rPr>
          <w:sz w:val="24"/>
          <w:szCs w:val="24"/>
        </w:rPr>
        <w:t>nergetske efikasnosti za 201</w:t>
      </w:r>
      <w:r w:rsidR="00D801B8">
        <w:rPr>
          <w:sz w:val="24"/>
          <w:szCs w:val="24"/>
        </w:rPr>
        <w:t>7</w:t>
      </w:r>
      <w:r w:rsidR="00BB52E9">
        <w:rPr>
          <w:sz w:val="24"/>
          <w:szCs w:val="24"/>
        </w:rPr>
        <w:t xml:space="preserve">. </w:t>
      </w:r>
      <w:r w:rsidR="00FD035C">
        <w:rPr>
          <w:sz w:val="24"/>
          <w:szCs w:val="24"/>
        </w:rPr>
        <w:t>go</w:t>
      </w:r>
      <w:r>
        <w:rPr>
          <w:sz w:val="24"/>
          <w:szCs w:val="24"/>
        </w:rPr>
        <w:t>dinu</w:t>
      </w:r>
      <w:r w:rsidR="00FD035C">
        <w:rPr>
          <w:sz w:val="24"/>
          <w:szCs w:val="24"/>
        </w:rPr>
        <w:t xml:space="preserve">, </w:t>
      </w:r>
      <w:r w:rsidR="00FD035C" w:rsidRPr="00181819">
        <w:rPr>
          <w:sz w:val="24"/>
          <w:szCs w:val="24"/>
        </w:rPr>
        <w:t xml:space="preserve">koji je usvojen na sjednici skupštine opštine Tivat </w:t>
      </w:r>
      <w:r w:rsidR="00D801B8">
        <w:rPr>
          <w:sz w:val="24"/>
          <w:szCs w:val="24"/>
        </w:rPr>
        <w:t>23</w:t>
      </w:r>
      <w:r w:rsidR="00FD035C" w:rsidRPr="00181819">
        <w:rPr>
          <w:sz w:val="24"/>
          <w:szCs w:val="24"/>
        </w:rPr>
        <w:t>.0</w:t>
      </w:r>
      <w:r w:rsidR="00D801B8">
        <w:rPr>
          <w:sz w:val="24"/>
          <w:szCs w:val="24"/>
        </w:rPr>
        <w:t>3</w:t>
      </w:r>
      <w:r w:rsidR="00FD035C" w:rsidRPr="00181819">
        <w:rPr>
          <w:sz w:val="24"/>
          <w:szCs w:val="24"/>
        </w:rPr>
        <w:t>.201</w:t>
      </w:r>
      <w:r w:rsidR="00D801B8">
        <w:rPr>
          <w:sz w:val="24"/>
          <w:szCs w:val="24"/>
        </w:rPr>
        <w:t>7</w:t>
      </w:r>
      <w:r w:rsidR="00FD035C" w:rsidRPr="00181819">
        <w:rPr>
          <w:sz w:val="24"/>
          <w:szCs w:val="24"/>
        </w:rPr>
        <w:t>.godine.</w:t>
      </w:r>
      <w:r w:rsidR="00BB52E9" w:rsidRPr="00181819">
        <w:rPr>
          <w:sz w:val="24"/>
          <w:szCs w:val="24"/>
        </w:rPr>
        <w:t xml:space="preserve"> Određene </w:t>
      </w:r>
      <w:r w:rsidRPr="00181819">
        <w:rPr>
          <w:sz w:val="24"/>
          <w:szCs w:val="24"/>
        </w:rPr>
        <w:t xml:space="preserve">aktivnosti </w:t>
      </w:r>
      <w:r w:rsidR="00BB52E9" w:rsidRPr="00181819">
        <w:rPr>
          <w:sz w:val="24"/>
          <w:szCs w:val="24"/>
        </w:rPr>
        <w:t>su</w:t>
      </w:r>
      <w:r w:rsidRPr="00181819">
        <w:rPr>
          <w:sz w:val="24"/>
          <w:szCs w:val="24"/>
        </w:rPr>
        <w:t xml:space="preserve"> u cjelosti prenijet</w:t>
      </w:r>
      <w:r w:rsidR="00BB52E9" w:rsidRPr="00181819">
        <w:rPr>
          <w:sz w:val="24"/>
          <w:szCs w:val="24"/>
        </w:rPr>
        <w:t>e</w:t>
      </w:r>
      <w:r w:rsidR="00FD035C" w:rsidRPr="00181819">
        <w:rPr>
          <w:sz w:val="24"/>
          <w:szCs w:val="24"/>
        </w:rPr>
        <w:t xml:space="preserve"> za ovu godinu, imajući u vidu prije svega </w:t>
      </w:r>
      <w:r w:rsidR="00D801B8">
        <w:rPr>
          <w:sz w:val="24"/>
          <w:szCs w:val="24"/>
        </w:rPr>
        <w:t>dinamiku projekta „IRENE“ kojim su obuhvaćene značajne mjere energetske efikasnosti</w:t>
      </w:r>
      <w:r w:rsidR="00FD035C" w:rsidRPr="00181819">
        <w:rPr>
          <w:sz w:val="24"/>
          <w:szCs w:val="24"/>
        </w:rPr>
        <w:t>.</w:t>
      </w:r>
    </w:p>
    <w:p w:rsidR="003C22D5" w:rsidRPr="00181819" w:rsidRDefault="00DE7EFF" w:rsidP="003C22D5">
      <w:pPr>
        <w:ind w:firstLine="360"/>
        <w:jc w:val="both"/>
        <w:rPr>
          <w:sz w:val="24"/>
          <w:szCs w:val="24"/>
        </w:rPr>
      </w:pPr>
      <w:r w:rsidRPr="00181819">
        <w:rPr>
          <w:sz w:val="24"/>
          <w:szCs w:val="24"/>
        </w:rPr>
        <w:t>Plan poboljšanja energetske efikasnosti je urađen po obrascu koji je donijelo nadležno ministarstvo.</w:t>
      </w:r>
    </w:p>
    <w:p w:rsidR="009C425C" w:rsidRDefault="009C425C">
      <w:pPr>
        <w:rPr>
          <w:b/>
          <w:sz w:val="24"/>
          <w:szCs w:val="24"/>
        </w:rPr>
      </w:pPr>
      <w:r>
        <w:rPr>
          <w:b/>
          <w:sz w:val="24"/>
          <w:szCs w:val="24"/>
        </w:rPr>
        <w:br w:type="page"/>
      </w:r>
    </w:p>
    <w:p w:rsidR="003C22D5" w:rsidRPr="00181819" w:rsidRDefault="0007319B" w:rsidP="0007319B">
      <w:pPr>
        <w:pStyle w:val="Heading2"/>
      </w:pPr>
      <w:bookmarkStart w:id="2" w:name="_Toc506378282"/>
      <w:r>
        <w:lastRenderedPageBreak/>
        <w:t xml:space="preserve">1.1 </w:t>
      </w:r>
      <w:r w:rsidR="003C22D5" w:rsidRPr="00181819">
        <w:t>Podaci o odgovornim licima</w:t>
      </w:r>
      <w:bookmarkEnd w:id="2"/>
    </w:p>
    <w:tbl>
      <w:tblPr>
        <w:tblStyle w:val="TableGrid"/>
        <w:tblW w:w="9331" w:type="dxa"/>
        <w:tblLayout w:type="fixed"/>
        <w:tblLook w:val="04A0" w:firstRow="1" w:lastRow="0" w:firstColumn="1" w:lastColumn="0" w:noHBand="0" w:noVBand="1"/>
      </w:tblPr>
      <w:tblGrid>
        <w:gridCol w:w="4097"/>
        <w:gridCol w:w="1852"/>
        <w:gridCol w:w="3382"/>
      </w:tblGrid>
      <w:tr w:rsidR="00181819" w:rsidRPr="00181819" w:rsidTr="00D84AB8">
        <w:trPr>
          <w:trHeight w:val="990"/>
        </w:trPr>
        <w:tc>
          <w:tcPr>
            <w:tcW w:w="4097" w:type="dxa"/>
            <w:tcBorders>
              <w:top w:val="single" w:sz="12" w:space="0" w:color="auto"/>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Ime i prezime odgovornog lica (energetski menadžer)</w:t>
            </w:r>
          </w:p>
        </w:tc>
        <w:tc>
          <w:tcPr>
            <w:tcW w:w="5234" w:type="dxa"/>
            <w:gridSpan w:val="2"/>
            <w:tcBorders>
              <w:top w:val="single" w:sz="12" w:space="0" w:color="auto"/>
              <w:right w:val="single" w:sz="12" w:space="0" w:color="auto"/>
            </w:tcBorders>
            <w:vAlign w:val="center"/>
          </w:tcPr>
          <w:p w:rsidR="003C22D5" w:rsidRPr="00181819" w:rsidRDefault="00FD035C" w:rsidP="00D84AB8">
            <w:pPr>
              <w:rPr>
                <w:rFonts w:ascii="Times New Roman" w:hAnsi="Times New Roman" w:cs="Times New Roman"/>
                <w:b/>
                <w:sz w:val="24"/>
              </w:rPr>
            </w:pPr>
            <w:r w:rsidRPr="00181819">
              <w:rPr>
                <w:rFonts w:ascii="Times New Roman" w:hAnsi="Times New Roman" w:cs="Times New Roman"/>
                <w:b/>
                <w:sz w:val="24"/>
              </w:rPr>
              <w:t>Marinko Terzić</w:t>
            </w:r>
            <w:r w:rsidR="00D801B8">
              <w:rPr>
                <w:rFonts w:ascii="Times New Roman" w:hAnsi="Times New Roman" w:cs="Times New Roman"/>
                <w:b/>
                <w:sz w:val="24"/>
              </w:rPr>
              <w:t>, samostalni savjetnik I za energetsku efikasnost</w:t>
            </w:r>
          </w:p>
        </w:tc>
      </w:tr>
      <w:tr w:rsidR="00181819" w:rsidRPr="00181819" w:rsidTr="00D84AB8">
        <w:trPr>
          <w:trHeight w:val="495"/>
        </w:trPr>
        <w:tc>
          <w:tcPr>
            <w:tcW w:w="4097"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Adresa/Poštanski broj/Opština:</w:t>
            </w:r>
          </w:p>
        </w:tc>
        <w:tc>
          <w:tcPr>
            <w:tcW w:w="5234" w:type="dxa"/>
            <w:gridSpan w:val="2"/>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Trg Magnolija 1, 85320, Tivat</w:t>
            </w:r>
          </w:p>
        </w:tc>
      </w:tr>
      <w:tr w:rsidR="00181819" w:rsidRPr="00181819" w:rsidTr="00D84AB8">
        <w:trPr>
          <w:trHeight w:val="495"/>
        </w:trPr>
        <w:tc>
          <w:tcPr>
            <w:tcW w:w="4097" w:type="dxa"/>
            <w:tcBorders>
              <w:left w:val="single" w:sz="12" w:space="0" w:color="auto"/>
            </w:tcBorders>
            <w:vAlign w:val="center"/>
          </w:tcPr>
          <w:p w:rsidR="003C22D5" w:rsidRPr="00181819" w:rsidRDefault="003C22D5" w:rsidP="00D801B8">
            <w:pPr>
              <w:rPr>
                <w:rFonts w:ascii="Times New Roman" w:hAnsi="Times New Roman" w:cs="Times New Roman"/>
                <w:sz w:val="24"/>
              </w:rPr>
            </w:pPr>
            <w:r w:rsidRPr="00181819">
              <w:rPr>
                <w:rFonts w:ascii="Times New Roman" w:hAnsi="Times New Roman" w:cs="Times New Roman"/>
                <w:i/>
                <w:sz w:val="24"/>
              </w:rPr>
              <w:t>Telefon:</w:t>
            </w:r>
            <w:r w:rsidRPr="00181819">
              <w:rPr>
                <w:rFonts w:ascii="Times New Roman" w:hAnsi="Times New Roman" w:cs="Times New Roman"/>
                <w:sz w:val="24"/>
              </w:rPr>
              <w:t xml:space="preserve"> </w:t>
            </w:r>
            <w:r w:rsidRPr="00181819">
              <w:rPr>
                <w:rFonts w:ascii="Times New Roman" w:hAnsi="Times New Roman" w:cs="Times New Roman"/>
                <w:b/>
                <w:sz w:val="24"/>
              </w:rPr>
              <w:t>032/661-3</w:t>
            </w:r>
            <w:r w:rsidR="00D801B8">
              <w:rPr>
                <w:rFonts w:ascii="Times New Roman" w:hAnsi="Times New Roman" w:cs="Times New Roman"/>
                <w:b/>
                <w:sz w:val="24"/>
              </w:rPr>
              <w:t>24</w:t>
            </w:r>
          </w:p>
        </w:tc>
        <w:tc>
          <w:tcPr>
            <w:tcW w:w="1852" w:type="dxa"/>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 xml:space="preserve">Mob. telefon: </w:t>
            </w:r>
          </w:p>
        </w:tc>
        <w:tc>
          <w:tcPr>
            <w:tcW w:w="3382" w:type="dxa"/>
            <w:tcBorders>
              <w:right w:val="single" w:sz="12" w:space="0" w:color="auto"/>
            </w:tcBorders>
            <w:vAlign w:val="center"/>
          </w:tcPr>
          <w:p w:rsidR="003C22D5" w:rsidRPr="00181819" w:rsidRDefault="00FD035C" w:rsidP="00FD035C">
            <w:pPr>
              <w:rPr>
                <w:rFonts w:ascii="Times New Roman" w:hAnsi="Times New Roman" w:cs="Times New Roman"/>
                <w:b/>
                <w:sz w:val="24"/>
              </w:rPr>
            </w:pPr>
            <w:r w:rsidRPr="00181819">
              <w:rPr>
                <w:rFonts w:ascii="Times New Roman" w:hAnsi="Times New Roman" w:cs="Times New Roman"/>
                <w:b/>
                <w:sz w:val="24"/>
              </w:rPr>
              <w:t>067</w:t>
            </w:r>
            <w:r w:rsidR="003C22D5" w:rsidRPr="00181819">
              <w:rPr>
                <w:rFonts w:ascii="Times New Roman" w:hAnsi="Times New Roman" w:cs="Times New Roman"/>
                <w:b/>
                <w:sz w:val="24"/>
              </w:rPr>
              <w:t>/</w:t>
            </w:r>
            <w:r w:rsidRPr="00181819">
              <w:rPr>
                <w:rFonts w:ascii="Times New Roman" w:hAnsi="Times New Roman" w:cs="Times New Roman"/>
                <w:b/>
                <w:sz w:val="24"/>
              </w:rPr>
              <w:t>382-195</w:t>
            </w:r>
          </w:p>
        </w:tc>
      </w:tr>
      <w:tr w:rsidR="003C22D5" w:rsidRPr="00181819" w:rsidTr="00D84AB8">
        <w:trPr>
          <w:trHeight w:val="495"/>
        </w:trPr>
        <w:tc>
          <w:tcPr>
            <w:tcW w:w="4097" w:type="dxa"/>
            <w:tcBorders>
              <w:left w:val="single" w:sz="12" w:space="0" w:color="auto"/>
              <w:bottom w:val="single" w:sz="12" w:space="0" w:color="auto"/>
            </w:tcBorders>
            <w:vAlign w:val="center"/>
          </w:tcPr>
          <w:p w:rsidR="003C22D5" w:rsidRPr="00181819" w:rsidRDefault="003C22D5" w:rsidP="00D84AB8">
            <w:pPr>
              <w:rPr>
                <w:rFonts w:ascii="Times New Roman" w:hAnsi="Times New Roman" w:cs="Times New Roman"/>
                <w:sz w:val="24"/>
              </w:rPr>
            </w:pPr>
            <w:r w:rsidRPr="00181819">
              <w:rPr>
                <w:rFonts w:ascii="Times New Roman" w:hAnsi="Times New Roman" w:cs="Times New Roman"/>
                <w:i/>
                <w:sz w:val="24"/>
              </w:rPr>
              <w:t>Fax:</w:t>
            </w:r>
            <w:r w:rsidRPr="00181819">
              <w:rPr>
                <w:rFonts w:ascii="Times New Roman" w:hAnsi="Times New Roman" w:cs="Times New Roman"/>
                <w:sz w:val="24"/>
              </w:rPr>
              <w:t xml:space="preserve"> </w:t>
            </w:r>
            <w:r w:rsidRPr="00181819">
              <w:rPr>
                <w:rFonts w:ascii="Times New Roman" w:hAnsi="Times New Roman" w:cs="Times New Roman"/>
                <w:b/>
                <w:sz w:val="24"/>
              </w:rPr>
              <w:t>032/671-387</w:t>
            </w:r>
          </w:p>
        </w:tc>
        <w:tc>
          <w:tcPr>
            <w:tcW w:w="1852" w:type="dxa"/>
            <w:tcBorders>
              <w:bottom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 xml:space="preserve">E-mail: </w:t>
            </w:r>
          </w:p>
        </w:tc>
        <w:tc>
          <w:tcPr>
            <w:tcW w:w="3382" w:type="dxa"/>
            <w:tcBorders>
              <w:bottom w:val="single" w:sz="12" w:space="0" w:color="auto"/>
              <w:right w:val="single" w:sz="12" w:space="0" w:color="auto"/>
            </w:tcBorders>
            <w:tcMar>
              <w:left w:w="28" w:type="dxa"/>
              <w:right w:w="28" w:type="dxa"/>
            </w:tcMar>
            <w:vAlign w:val="center"/>
          </w:tcPr>
          <w:p w:rsidR="003C22D5" w:rsidRPr="00181819" w:rsidRDefault="00FD035C" w:rsidP="00D84AB8">
            <w:pPr>
              <w:rPr>
                <w:rFonts w:ascii="Times New Roman" w:hAnsi="Times New Roman" w:cs="Times New Roman"/>
                <w:sz w:val="24"/>
              </w:rPr>
            </w:pPr>
            <w:r w:rsidRPr="00181819">
              <w:rPr>
                <w:rFonts w:ascii="Times New Roman" w:hAnsi="Times New Roman" w:cs="Times New Roman"/>
                <w:i/>
                <w:sz w:val="24"/>
              </w:rPr>
              <w:t>marinko.terzic</w:t>
            </w:r>
            <w:r w:rsidR="003C22D5" w:rsidRPr="00181819">
              <w:rPr>
                <w:rFonts w:ascii="Times New Roman" w:hAnsi="Times New Roman" w:cs="Times New Roman"/>
                <w:i/>
                <w:sz w:val="24"/>
                <w:lang w:val="en-US"/>
              </w:rPr>
              <w:t>@</w:t>
            </w:r>
            <w:r w:rsidR="003C22D5" w:rsidRPr="00181819">
              <w:rPr>
                <w:rFonts w:ascii="Times New Roman" w:hAnsi="Times New Roman" w:cs="Times New Roman"/>
                <w:i/>
                <w:sz w:val="24"/>
              </w:rPr>
              <w:t>opstinativat.com</w:t>
            </w:r>
          </w:p>
        </w:tc>
      </w:tr>
    </w:tbl>
    <w:p w:rsidR="003C22D5" w:rsidRPr="00181819" w:rsidRDefault="003C22D5" w:rsidP="003C22D5">
      <w:pPr>
        <w:ind w:left="360"/>
        <w:jc w:val="both"/>
        <w:rPr>
          <w:sz w:val="24"/>
          <w:szCs w:val="24"/>
        </w:rPr>
      </w:pPr>
    </w:p>
    <w:p w:rsidR="003C22D5" w:rsidRPr="00181819" w:rsidRDefault="003C22D5" w:rsidP="003C22D5">
      <w:pPr>
        <w:ind w:left="360"/>
        <w:jc w:val="both"/>
        <w:rPr>
          <w:sz w:val="24"/>
          <w:szCs w:val="24"/>
        </w:rPr>
      </w:pPr>
    </w:p>
    <w:tbl>
      <w:tblPr>
        <w:tblStyle w:val="TableGrid"/>
        <w:tblW w:w="9302" w:type="dxa"/>
        <w:tblLook w:val="04A0" w:firstRow="1" w:lastRow="0" w:firstColumn="1" w:lastColumn="0" w:noHBand="0" w:noVBand="1"/>
      </w:tblPr>
      <w:tblGrid>
        <w:gridCol w:w="1140"/>
        <w:gridCol w:w="3430"/>
        <w:gridCol w:w="1097"/>
        <w:gridCol w:w="3635"/>
      </w:tblGrid>
      <w:tr w:rsidR="00181819" w:rsidRPr="00181819" w:rsidTr="00D84AB8">
        <w:trPr>
          <w:trHeight w:val="376"/>
        </w:trPr>
        <w:tc>
          <w:tcPr>
            <w:tcW w:w="45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C22D5" w:rsidRPr="00181819" w:rsidRDefault="003C22D5" w:rsidP="00D84AB8">
            <w:pPr>
              <w:rPr>
                <w:rFonts w:ascii="Times New Roman" w:hAnsi="Times New Roman" w:cs="Times New Roman"/>
                <w:b/>
                <w:i/>
                <w:sz w:val="24"/>
              </w:rPr>
            </w:pPr>
            <w:r w:rsidRPr="00181819">
              <w:rPr>
                <w:rFonts w:ascii="Times New Roman" w:hAnsi="Times New Roman" w:cs="Times New Roman"/>
                <w:b/>
                <w:i/>
                <w:sz w:val="24"/>
              </w:rPr>
              <w:t>Lice odgovorno za izradu plana</w:t>
            </w:r>
          </w:p>
        </w:tc>
        <w:tc>
          <w:tcPr>
            <w:tcW w:w="473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C22D5" w:rsidRPr="00181819" w:rsidRDefault="003C22D5" w:rsidP="00D84AB8">
            <w:pPr>
              <w:rPr>
                <w:rFonts w:ascii="Times New Roman" w:hAnsi="Times New Roman" w:cs="Times New Roman"/>
                <w:b/>
                <w:i/>
                <w:sz w:val="24"/>
              </w:rPr>
            </w:pPr>
            <w:r w:rsidRPr="00181819">
              <w:rPr>
                <w:rFonts w:ascii="Times New Roman" w:hAnsi="Times New Roman" w:cs="Times New Roman"/>
                <w:b/>
                <w:i/>
                <w:sz w:val="24"/>
              </w:rPr>
              <w:t>Lice odgovorno za odobravanje plana</w:t>
            </w:r>
          </w:p>
        </w:tc>
      </w:tr>
      <w:tr w:rsidR="00181819" w:rsidRPr="00181819" w:rsidTr="00D84AB8">
        <w:trPr>
          <w:trHeight w:val="397"/>
        </w:trPr>
        <w:tc>
          <w:tcPr>
            <w:tcW w:w="1140" w:type="dxa"/>
            <w:tcBorders>
              <w:top w:val="single" w:sz="12" w:space="0" w:color="auto"/>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Ime:</w:t>
            </w:r>
          </w:p>
        </w:tc>
        <w:tc>
          <w:tcPr>
            <w:tcW w:w="3430" w:type="dxa"/>
            <w:tcBorders>
              <w:top w:val="single" w:sz="12" w:space="0" w:color="auto"/>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Marinko</w:t>
            </w:r>
          </w:p>
        </w:tc>
        <w:tc>
          <w:tcPr>
            <w:tcW w:w="1097" w:type="dxa"/>
            <w:tcBorders>
              <w:top w:val="single" w:sz="12" w:space="0" w:color="auto"/>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Ime:</w:t>
            </w:r>
          </w:p>
        </w:tc>
        <w:tc>
          <w:tcPr>
            <w:tcW w:w="3635" w:type="dxa"/>
            <w:tcBorders>
              <w:top w:val="single" w:sz="12" w:space="0" w:color="auto"/>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Tatjana</w:t>
            </w:r>
          </w:p>
        </w:tc>
      </w:tr>
      <w:tr w:rsidR="00181819" w:rsidRPr="00181819" w:rsidTr="00D84AB8">
        <w:trPr>
          <w:trHeight w:val="376"/>
        </w:trPr>
        <w:tc>
          <w:tcPr>
            <w:tcW w:w="1140"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Prezime:</w:t>
            </w:r>
          </w:p>
        </w:tc>
        <w:tc>
          <w:tcPr>
            <w:tcW w:w="3430"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Terzić</w:t>
            </w:r>
          </w:p>
        </w:tc>
        <w:tc>
          <w:tcPr>
            <w:tcW w:w="1097"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Prezime:</w:t>
            </w:r>
          </w:p>
        </w:tc>
        <w:tc>
          <w:tcPr>
            <w:tcW w:w="3635"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Jelić</w:t>
            </w:r>
          </w:p>
        </w:tc>
      </w:tr>
      <w:tr w:rsidR="00181819" w:rsidRPr="00181819" w:rsidTr="00D84AB8">
        <w:trPr>
          <w:trHeight w:val="1150"/>
        </w:trPr>
        <w:tc>
          <w:tcPr>
            <w:tcW w:w="1140"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Pozicija:</w:t>
            </w:r>
          </w:p>
        </w:tc>
        <w:tc>
          <w:tcPr>
            <w:tcW w:w="3430"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Samostalni savjetnik I za energetsku efikasnost</w:t>
            </w:r>
          </w:p>
        </w:tc>
        <w:tc>
          <w:tcPr>
            <w:tcW w:w="1097"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Pozicija:</w:t>
            </w:r>
          </w:p>
        </w:tc>
        <w:tc>
          <w:tcPr>
            <w:tcW w:w="3635"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Sekretar Sekretarijata za zaštitu životne sredine i energetsku efikasnost</w:t>
            </w:r>
          </w:p>
        </w:tc>
      </w:tr>
      <w:tr w:rsidR="00181819" w:rsidRPr="00181819" w:rsidTr="00D84AB8">
        <w:trPr>
          <w:trHeight w:val="376"/>
        </w:trPr>
        <w:tc>
          <w:tcPr>
            <w:tcW w:w="1140"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Telefon:</w:t>
            </w:r>
          </w:p>
        </w:tc>
        <w:tc>
          <w:tcPr>
            <w:tcW w:w="3430"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032/661-324</w:t>
            </w:r>
          </w:p>
        </w:tc>
        <w:tc>
          <w:tcPr>
            <w:tcW w:w="1097"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Telefon:</w:t>
            </w:r>
          </w:p>
        </w:tc>
        <w:tc>
          <w:tcPr>
            <w:tcW w:w="3635"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032/661-310</w:t>
            </w:r>
          </w:p>
        </w:tc>
      </w:tr>
      <w:tr w:rsidR="00181819" w:rsidRPr="00181819" w:rsidTr="00D84AB8">
        <w:trPr>
          <w:trHeight w:val="376"/>
        </w:trPr>
        <w:tc>
          <w:tcPr>
            <w:tcW w:w="1140"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Fax:</w:t>
            </w:r>
          </w:p>
        </w:tc>
        <w:tc>
          <w:tcPr>
            <w:tcW w:w="3430"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032/671-387</w:t>
            </w:r>
          </w:p>
        </w:tc>
        <w:tc>
          <w:tcPr>
            <w:tcW w:w="1097" w:type="dxa"/>
            <w:tcBorders>
              <w:left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Fax:</w:t>
            </w:r>
          </w:p>
        </w:tc>
        <w:tc>
          <w:tcPr>
            <w:tcW w:w="3635" w:type="dxa"/>
            <w:tcBorders>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b/>
                <w:sz w:val="24"/>
              </w:rPr>
              <w:t>032/671-387</w:t>
            </w:r>
          </w:p>
        </w:tc>
      </w:tr>
      <w:tr w:rsidR="00181819" w:rsidRPr="00181819" w:rsidTr="00D84AB8">
        <w:trPr>
          <w:trHeight w:val="376"/>
        </w:trPr>
        <w:tc>
          <w:tcPr>
            <w:tcW w:w="1140" w:type="dxa"/>
            <w:tcBorders>
              <w:left w:val="single" w:sz="12" w:space="0" w:color="auto"/>
              <w:bottom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E-mail:</w:t>
            </w:r>
          </w:p>
        </w:tc>
        <w:tc>
          <w:tcPr>
            <w:tcW w:w="3430" w:type="dxa"/>
            <w:tcBorders>
              <w:bottom w:val="single" w:sz="12" w:space="0" w:color="auto"/>
              <w:right w:val="single" w:sz="12" w:space="0" w:color="auto"/>
            </w:tcBorders>
            <w:vAlign w:val="center"/>
          </w:tcPr>
          <w:p w:rsidR="003C22D5" w:rsidRPr="00181819" w:rsidRDefault="003C22D5" w:rsidP="00D84AB8">
            <w:pPr>
              <w:rPr>
                <w:rFonts w:ascii="Times New Roman" w:hAnsi="Times New Roman" w:cs="Times New Roman"/>
                <w:b/>
                <w:sz w:val="24"/>
              </w:rPr>
            </w:pPr>
            <w:r w:rsidRPr="00181819">
              <w:rPr>
                <w:rFonts w:ascii="Times New Roman" w:hAnsi="Times New Roman" w:cs="Times New Roman"/>
                <w:i/>
                <w:sz w:val="24"/>
              </w:rPr>
              <w:t>marinko.terzic</w:t>
            </w:r>
            <w:r w:rsidRPr="00181819">
              <w:rPr>
                <w:rFonts w:ascii="Times New Roman" w:hAnsi="Times New Roman" w:cs="Times New Roman"/>
                <w:i/>
                <w:sz w:val="24"/>
                <w:lang w:val="en-US"/>
              </w:rPr>
              <w:t>@</w:t>
            </w:r>
            <w:r w:rsidRPr="00181819">
              <w:rPr>
                <w:rFonts w:ascii="Times New Roman" w:hAnsi="Times New Roman" w:cs="Times New Roman"/>
                <w:i/>
                <w:sz w:val="24"/>
              </w:rPr>
              <w:t>opstinativat.com</w:t>
            </w:r>
          </w:p>
        </w:tc>
        <w:tc>
          <w:tcPr>
            <w:tcW w:w="1097" w:type="dxa"/>
            <w:tcBorders>
              <w:left w:val="single" w:sz="12" w:space="0" w:color="auto"/>
              <w:bottom w:val="single" w:sz="12" w:space="0" w:color="auto"/>
            </w:tcBorders>
            <w:vAlign w:val="center"/>
          </w:tcPr>
          <w:p w:rsidR="003C22D5" w:rsidRPr="00181819" w:rsidRDefault="003C22D5" w:rsidP="00D84AB8">
            <w:pPr>
              <w:rPr>
                <w:rFonts w:ascii="Times New Roman" w:hAnsi="Times New Roman" w:cs="Times New Roman"/>
                <w:i/>
                <w:sz w:val="24"/>
              </w:rPr>
            </w:pPr>
            <w:r w:rsidRPr="00181819">
              <w:rPr>
                <w:rFonts w:ascii="Times New Roman" w:hAnsi="Times New Roman" w:cs="Times New Roman"/>
                <w:i/>
                <w:sz w:val="24"/>
              </w:rPr>
              <w:t>E-mail:</w:t>
            </w:r>
          </w:p>
        </w:tc>
        <w:tc>
          <w:tcPr>
            <w:tcW w:w="3635" w:type="dxa"/>
            <w:tcBorders>
              <w:bottom w:val="single" w:sz="12" w:space="0" w:color="auto"/>
              <w:right w:val="single" w:sz="12" w:space="0" w:color="auto"/>
            </w:tcBorders>
            <w:vAlign w:val="center"/>
          </w:tcPr>
          <w:p w:rsidR="003C22D5" w:rsidRPr="00181819" w:rsidRDefault="003C22D5" w:rsidP="00D84AB8">
            <w:pPr>
              <w:rPr>
                <w:rFonts w:ascii="Times New Roman" w:hAnsi="Times New Roman" w:cs="Times New Roman"/>
                <w:sz w:val="24"/>
              </w:rPr>
            </w:pPr>
            <w:r w:rsidRPr="00181819">
              <w:rPr>
                <w:rFonts w:ascii="Times New Roman" w:hAnsi="Times New Roman" w:cs="Times New Roman"/>
                <w:i/>
                <w:sz w:val="24"/>
              </w:rPr>
              <w:t>tatjana.jelic</w:t>
            </w:r>
            <w:r w:rsidRPr="00181819">
              <w:rPr>
                <w:rFonts w:ascii="Times New Roman" w:hAnsi="Times New Roman" w:cs="Times New Roman"/>
                <w:i/>
                <w:sz w:val="24"/>
                <w:lang w:val="en-US"/>
              </w:rPr>
              <w:t>@</w:t>
            </w:r>
            <w:r w:rsidRPr="00181819">
              <w:rPr>
                <w:rFonts w:ascii="Times New Roman" w:hAnsi="Times New Roman" w:cs="Times New Roman"/>
                <w:i/>
                <w:sz w:val="24"/>
              </w:rPr>
              <w:t>opstinativat.com</w:t>
            </w:r>
          </w:p>
        </w:tc>
      </w:tr>
    </w:tbl>
    <w:p w:rsidR="00DE7EFF" w:rsidRPr="00181819" w:rsidRDefault="003C22D5" w:rsidP="00A64107">
      <w:pPr>
        <w:rPr>
          <w:sz w:val="24"/>
          <w:szCs w:val="24"/>
        </w:rPr>
      </w:pPr>
      <w:r w:rsidRPr="00181819">
        <w:rPr>
          <w:sz w:val="24"/>
          <w:szCs w:val="24"/>
        </w:rPr>
        <w:br w:type="page"/>
      </w:r>
    </w:p>
    <w:p w:rsidR="00BB6FEF" w:rsidRPr="00181819" w:rsidRDefault="00A36E0F" w:rsidP="0007319B">
      <w:pPr>
        <w:pStyle w:val="Heading1"/>
        <w:numPr>
          <w:ilvl w:val="0"/>
          <w:numId w:val="18"/>
        </w:numPr>
      </w:pPr>
      <w:bookmarkStart w:id="3" w:name="_Toc506378283"/>
      <w:r w:rsidRPr="00181819">
        <w:lastRenderedPageBreak/>
        <w:t>CILJEVI GODIŠNJEG PLANA POBOLJŠANJA ENERGETSKE EFIKASNOSTI</w:t>
      </w:r>
      <w:bookmarkEnd w:id="3"/>
    </w:p>
    <w:p w:rsidR="00B7771A" w:rsidRPr="00181819" w:rsidRDefault="0007319B" w:rsidP="0007319B">
      <w:pPr>
        <w:pStyle w:val="Heading2"/>
      </w:pPr>
      <w:bookmarkStart w:id="4" w:name="_Toc506378284"/>
      <w:r>
        <w:t>2.1 Po</w:t>
      </w:r>
      <w:r w:rsidR="00B7771A" w:rsidRPr="00181819">
        <w:t>stojeći okvir – osnovne informacije za plan</w:t>
      </w:r>
      <w:bookmarkEnd w:id="4"/>
    </w:p>
    <w:p w:rsidR="009010CD" w:rsidRDefault="009010CD" w:rsidP="009010CD">
      <w:pPr>
        <w:ind w:firstLine="360"/>
        <w:jc w:val="both"/>
        <w:rPr>
          <w:sz w:val="24"/>
          <w:szCs w:val="24"/>
        </w:rPr>
      </w:pPr>
      <w:r w:rsidRPr="009010CD">
        <w:rPr>
          <w:sz w:val="24"/>
          <w:szCs w:val="24"/>
        </w:rPr>
        <w:t xml:space="preserve">U decembru mjesecu 2017. godine je usvojen novi </w:t>
      </w:r>
      <w:r w:rsidRPr="00506849">
        <w:rPr>
          <w:b/>
          <w:i/>
          <w:sz w:val="24"/>
          <w:szCs w:val="24"/>
        </w:rPr>
        <w:t xml:space="preserve">Program poboljšanja energetske efikasnosti za period od 2018. do 2020. </w:t>
      </w:r>
      <w:r w:rsidR="00A64107" w:rsidRPr="00506849">
        <w:rPr>
          <w:b/>
          <w:i/>
          <w:sz w:val="24"/>
          <w:szCs w:val="24"/>
        </w:rPr>
        <w:t>g</w:t>
      </w:r>
      <w:r w:rsidRPr="00506849">
        <w:rPr>
          <w:b/>
          <w:i/>
          <w:sz w:val="24"/>
          <w:szCs w:val="24"/>
        </w:rPr>
        <w:t>odine</w:t>
      </w:r>
      <w:r w:rsidR="00847D12" w:rsidRPr="00506849">
        <w:rPr>
          <w:b/>
          <w:i/>
          <w:sz w:val="24"/>
          <w:szCs w:val="24"/>
        </w:rPr>
        <w:t xml:space="preserve">, </w:t>
      </w:r>
      <w:r w:rsidR="00847D12">
        <w:rPr>
          <w:sz w:val="24"/>
          <w:szCs w:val="24"/>
        </w:rPr>
        <w:t>na koji je i Ministarstvo ekonomije dalo pozitivno mišljenje</w:t>
      </w:r>
      <w:r w:rsidRPr="009010CD">
        <w:rPr>
          <w:sz w:val="24"/>
          <w:szCs w:val="24"/>
        </w:rPr>
        <w:t>. Njegovim usvajanjem Opština Tivat je prihvatila predložene mjere koje su planirane da se sprovedu do kraja 2020. godine.</w:t>
      </w:r>
    </w:p>
    <w:p w:rsidR="00BB6FEF" w:rsidRPr="00181819" w:rsidRDefault="00BB52E9" w:rsidP="00077E99">
      <w:pPr>
        <w:ind w:firstLine="360"/>
        <w:jc w:val="both"/>
        <w:rPr>
          <w:sz w:val="24"/>
          <w:szCs w:val="24"/>
        </w:rPr>
      </w:pPr>
      <w:r w:rsidRPr="00181819">
        <w:rPr>
          <w:sz w:val="24"/>
          <w:szCs w:val="24"/>
        </w:rPr>
        <w:t>P</w:t>
      </w:r>
      <w:r w:rsidR="00B7771A" w:rsidRPr="00181819">
        <w:rPr>
          <w:sz w:val="24"/>
          <w:szCs w:val="24"/>
        </w:rPr>
        <w:t>lan</w:t>
      </w:r>
      <w:r w:rsidRPr="00181819">
        <w:rPr>
          <w:sz w:val="24"/>
          <w:szCs w:val="24"/>
        </w:rPr>
        <w:t xml:space="preserve"> poboljšanja energetske efikasnosti</w:t>
      </w:r>
      <w:r w:rsidR="00B7771A" w:rsidRPr="00181819">
        <w:rPr>
          <w:sz w:val="24"/>
          <w:szCs w:val="24"/>
        </w:rPr>
        <w:t xml:space="preserve"> za 201</w:t>
      </w:r>
      <w:r w:rsidR="00D801B8">
        <w:rPr>
          <w:sz w:val="24"/>
          <w:szCs w:val="24"/>
        </w:rPr>
        <w:t>8</w:t>
      </w:r>
      <w:r w:rsidR="00B7771A" w:rsidRPr="00181819">
        <w:rPr>
          <w:sz w:val="24"/>
          <w:szCs w:val="24"/>
        </w:rPr>
        <w:t xml:space="preserve">. </w:t>
      </w:r>
      <w:r w:rsidRPr="00181819">
        <w:rPr>
          <w:sz w:val="24"/>
          <w:szCs w:val="24"/>
        </w:rPr>
        <w:t>g</w:t>
      </w:r>
      <w:r w:rsidR="00B7771A" w:rsidRPr="00181819">
        <w:rPr>
          <w:sz w:val="24"/>
          <w:szCs w:val="24"/>
        </w:rPr>
        <w:t xml:space="preserve">odinu usklađen je sa trogodišnjim Programom poboljšanja energetske efikasnosti i predstavlja osnovni dokument koji na bazi prikupljenih podataka i </w:t>
      </w:r>
      <w:r w:rsidR="009010CD">
        <w:rPr>
          <w:sz w:val="24"/>
          <w:szCs w:val="24"/>
        </w:rPr>
        <w:t>trenutno</w:t>
      </w:r>
      <w:r w:rsidR="00847D12">
        <w:rPr>
          <w:sz w:val="24"/>
          <w:szCs w:val="24"/>
        </w:rPr>
        <w:t>g</w:t>
      </w:r>
      <w:r w:rsidR="00B7771A" w:rsidRPr="00181819">
        <w:rPr>
          <w:sz w:val="24"/>
          <w:szCs w:val="24"/>
        </w:rPr>
        <w:t xml:space="preserve"> stanj</w:t>
      </w:r>
      <w:r w:rsidR="00847D12">
        <w:rPr>
          <w:sz w:val="24"/>
          <w:szCs w:val="24"/>
        </w:rPr>
        <w:t>a</w:t>
      </w:r>
      <w:r w:rsidR="00B7771A" w:rsidRPr="00181819">
        <w:rPr>
          <w:sz w:val="24"/>
          <w:szCs w:val="24"/>
        </w:rPr>
        <w:t xml:space="preserve"> identifikuje i daje precizne i jasne odrednice za sprovođenje projekata i mjera energetske efikasnosti i korišćenja obnovljivih izvora energije na opštinskom nivou za navedenu godinu. Prihvatanje </w:t>
      </w:r>
      <w:r w:rsidR="003C22D5" w:rsidRPr="00181819">
        <w:rPr>
          <w:sz w:val="24"/>
          <w:szCs w:val="24"/>
        </w:rPr>
        <w:t>P</w:t>
      </w:r>
      <w:r w:rsidR="00B7771A" w:rsidRPr="00181819">
        <w:rPr>
          <w:sz w:val="24"/>
          <w:szCs w:val="24"/>
        </w:rPr>
        <w:t>lana kao službenog, implementacionog, dokumenta opštine Tivat za 201</w:t>
      </w:r>
      <w:r w:rsidR="00D801B8">
        <w:rPr>
          <w:sz w:val="24"/>
          <w:szCs w:val="24"/>
        </w:rPr>
        <w:t>8</w:t>
      </w:r>
      <w:r w:rsidR="00B7771A" w:rsidRPr="00181819">
        <w:rPr>
          <w:sz w:val="24"/>
          <w:szCs w:val="24"/>
        </w:rPr>
        <w:t xml:space="preserve">. </w:t>
      </w:r>
      <w:r w:rsidR="003C22D5" w:rsidRPr="00181819">
        <w:rPr>
          <w:sz w:val="24"/>
          <w:szCs w:val="24"/>
        </w:rPr>
        <w:t>g</w:t>
      </w:r>
      <w:r w:rsidR="00B7771A" w:rsidRPr="00181819">
        <w:rPr>
          <w:sz w:val="24"/>
          <w:szCs w:val="24"/>
        </w:rPr>
        <w:t>odinu je ključni elemenat za njegovu realizaciju, te ostvarenje cilja smanjenja CO</w:t>
      </w:r>
      <w:r w:rsidR="00B7771A" w:rsidRPr="003471D8">
        <w:rPr>
          <w:sz w:val="24"/>
          <w:szCs w:val="24"/>
          <w:vertAlign w:val="subscript"/>
        </w:rPr>
        <w:t>2</w:t>
      </w:r>
      <w:r w:rsidR="00B7771A" w:rsidRPr="00181819">
        <w:rPr>
          <w:sz w:val="24"/>
          <w:szCs w:val="24"/>
        </w:rPr>
        <w:t xml:space="preserve"> i planiranih energetskih ušteda u narednom periodu</w:t>
      </w:r>
      <w:r w:rsidR="003C22D5" w:rsidRPr="00181819">
        <w:rPr>
          <w:sz w:val="24"/>
          <w:szCs w:val="24"/>
        </w:rPr>
        <w:t>.</w:t>
      </w:r>
    </w:p>
    <w:p w:rsidR="003C22D5" w:rsidRPr="00181819" w:rsidRDefault="00B6346C" w:rsidP="003C22D5">
      <w:pPr>
        <w:ind w:firstLine="360"/>
        <w:jc w:val="both"/>
        <w:rPr>
          <w:sz w:val="24"/>
          <w:szCs w:val="24"/>
        </w:rPr>
      </w:pPr>
      <w:r w:rsidRPr="00181819">
        <w:rPr>
          <w:sz w:val="24"/>
          <w:szCs w:val="24"/>
        </w:rPr>
        <w:t>Glavne aktivnosti koje obuhvata trogodišnji Program poboljšanja energetske efikasnosti odnose se na:</w:t>
      </w:r>
    </w:p>
    <w:p w:rsidR="00B6346C" w:rsidRPr="00181819" w:rsidRDefault="00B6346C" w:rsidP="00B6346C">
      <w:pPr>
        <w:pStyle w:val="ListParagraph"/>
        <w:numPr>
          <w:ilvl w:val="0"/>
          <w:numId w:val="2"/>
        </w:numPr>
        <w:jc w:val="both"/>
        <w:rPr>
          <w:sz w:val="24"/>
          <w:szCs w:val="24"/>
        </w:rPr>
      </w:pPr>
      <w:r w:rsidRPr="00181819">
        <w:rPr>
          <w:sz w:val="24"/>
          <w:szCs w:val="24"/>
        </w:rPr>
        <w:t>Energetski menadžment i informacioni sistem</w:t>
      </w:r>
    </w:p>
    <w:p w:rsidR="00B6346C" w:rsidRPr="00181819" w:rsidRDefault="00B6346C" w:rsidP="00B6346C">
      <w:pPr>
        <w:pStyle w:val="ListParagraph"/>
        <w:numPr>
          <w:ilvl w:val="0"/>
          <w:numId w:val="2"/>
        </w:numPr>
        <w:jc w:val="both"/>
        <w:rPr>
          <w:sz w:val="24"/>
          <w:szCs w:val="24"/>
        </w:rPr>
      </w:pPr>
      <w:r w:rsidRPr="00181819">
        <w:rPr>
          <w:sz w:val="24"/>
          <w:szCs w:val="24"/>
        </w:rPr>
        <w:t>Administrativne zgrade i ostale objekte u nadležnosti opštine</w:t>
      </w:r>
    </w:p>
    <w:p w:rsidR="00B6346C" w:rsidRDefault="00B6346C" w:rsidP="00B6346C">
      <w:pPr>
        <w:pStyle w:val="ListParagraph"/>
        <w:numPr>
          <w:ilvl w:val="0"/>
          <w:numId w:val="2"/>
        </w:numPr>
        <w:jc w:val="both"/>
        <w:rPr>
          <w:sz w:val="24"/>
          <w:szCs w:val="24"/>
        </w:rPr>
      </w:pPr>
      <w:r w:rsidRPr="00181819">
        <w:rPr>
          <w:sz w:val="24"/>
          <w:szCs w:val="24"/>
        </w:rPr>
        <w:t>Javnu rasvjetu, komunalne usluge, javni transport i druge usluge u nadležnosti opštine</w:t>
      </w:r>
    </w:p>
    <w:p w:rsidR="00D801B8" w:rsidRPr="00181819" w:rsidRDefault="00D801B8" w:rsidP="00B6346C">
      <w:pPr>
        <w:pStyle w:val="ListParagraph"/>
        <w:numPr>
          <w:ilvl w:val="0"/>
          <w:numId w:val="2"/>
        </w:numPr>
        <w:jc w:val="both"/>
        <w:rPr>
          <w:sz w:val="24"/>
          <w:szCs w:val="24"/>
        </w:rPr>
      </w:pPr>
      <w:r>
        <w:rPr>
          <w:sz w:val="24"/>
          <w:szCs w:val="24"/>
        </w:rPr>
        <w:t>Sistem vodosnabdijevanja i otpanih voda</w:t>
      </w:r>
    </w:p>
    <w:p w:rsidR="00B6346C" w:rsidRDefault="00B6346C" w:rsidP="00B6346C">
      <w:pPr>
        <w:pStyle w:val="ListParagraph"/>
        <w:numPr>
          <w:ilvl w:val="0"/>
          <w:numId w:val="2"/>
        </w:numPr>
        <w:jc w:val="both"/>
        <w:rPr>
          <w:sz w:val="24"/>
          <w:szCs w:val="24"/>
        </w:rPr>
      </w:pPr>
      <w:r w:rsidRPr="00181819">
        <w:rPr>
          <w:sz w:val="24"/>
          <w:szCs w:val="24"/>
        </w:rPr>
        <w:t>Domaćinstva</w:t>
      </w:r>
    </w:p>
    <w:p w:rsidR="009010CD" w:rsidRDefault="009010CD" w:rsidP="00B6346C">
      <w:pPr>
        <w:pStyle w:val="ListParagraph"/>
        <w:numPr>
          <w:ilvl w:val="0"/>
          <w:numId w:val="2"/>
        </w:numPr>
        <w:jc w:val="both"/>
        <w:rPr>
          <w:sz w:val="24"/>
          <w:szCs w:val="24"/>
        </w:rPr>
      </w:pPr>
      <w:r>
        <w:rPr>
          <w:sz w:val="24"/>
          <w:szCs w:val="24"/>
        </w:rPr>
        <w:t>Korišćenje obnovljivih izvora energije</w:t>
      </w:r>
    </w:p>
    <w:p w:rsidR="00847D12" w:rsidRPr="00181819" w:rsidRDefault="009C425C" w:rsidP="00B6346C">
      <w:pPr>
        <w:pStyle w:val="ListParagraph"/>
        <w:numPr>
          <w:ilvl w:val="0"/>
          <w:numId w:val="2"/>
        </w:numPr>
        <w:jc w:val="both"/>
        <w:rPr>
          <w:sz w:val="24"/>
          <w:szCs w:val="24"/>
        </w:rPr>
      </w:pPr>
      <w:r>
        <w:rPr>
          <w:sz w:val="24"/>
          <w:szCs w:val="24"/>
        </w:rPr>
        <w:t>Podrška</w:t>
      </w:r>
      <w:r w:rsidR="00847D12">
        <w:rPr>
          <w:sz w:val="24"/>
          <w:szCs w:val="24"/>
        </w:rPr>
        <w:t xml:space="preserve"> u energetskoj obnovi objekata obrazovnih institucija</w:t>
      </w:r>
    </w:p>
    <w:p w:rsidR="00B6346C" w:rsidRPr="00181819" w:rsidRDefault="00B6346C" w:rsidP="00B6346C">
      <w:pPr>
        <w:pStyle w:val="ListParagraph"/>
        <w:numPr>
          <w:ilvl w:val="0"/>
          <w:numId w:val="2"/>
        </w:numPr>
        <w:jc w:val="both"/>
        <w:rPr>
          <w:sz w:val="24"/>
          <w:szCs w:val="24"/>
        </w:rPr>
      </w:pPr>
      <w:r w:rsidRPr="00181819">
        <w:rPr>
          <w:sz w:val="24"/>
          <w:szCs w:val="24"/>
        </w:rPr>
        <w:t>Hotelijerstvo i turizam</w:t>
      </w:r>
    </w:p>
    <w:p w:rsidR="003C22D5" w:rsidRPr="00181819" w:rsidRDefault="004A212C" w:rsidP="003C22D5">
      <w:pPr>
        <w:ind w:firstLine="360"/>
        <w:jc w:val="both"/>
        <w:rPr>
          <w:sz w:val="24"/>
          <w:szCs w:val="24"/>
        </w:rPr>
      </w:pPr>
      <w:r w:rsidRPr="00181819">
        <w:rPr>
          <w:sz w:val="24"/>
          <w:szCs w:val="24"/>
        </w:rPr>
        <w:t xml:space="preserve">Aktivnosti u cilju sprovođenja plana energetske efikasnosti su u nadležnosti Sekretarijata za zaštitu životne </w:t>
      </w:r>
      <w:r w:rsidR="00DE7EFF" w:rsidRPr="00181819">
        <w:rPr>
          <w:sz w:val="24"/>
          <w:szCs w:val="24"/>
        </w:rPr>
        <w:t>i energetsk</w:t>
      </w:r>
      <w:r w:rsidR="009010CD">
        <w:rPr>
          <w:sz w:val="24"/>
          <w:szCs w:val="24"/>
        </w:rPr>
        <w:t>u efikasnost</w:t>
      </w:r>
      <w:r w:rsidR="00A36E0F" w:rsidRPr="00181819">
        <w:rPr>
          <w:sz w:val="24"/>
          <w:szCs w:val="24"/>
        </w:rPr>
        <w:t>.</w:t>
      </w:r>
    </w:p>
    <w:p w:rsidR="00944F58" w:rsidRPr="00181819" w:rsidRDefault="00A36E0F" w:rsidP="00A36E0F">
      <w:pPr>
        <w:ind w:firstLine="360"/>
        <w:jc w:val="both"/>
        <w:rPr>
          <w:sz w:val="24"/>
          <w:szCs w:val="24"/>
        </w:rPr>
      </w:pPr>
      <w:r w:rsidRPr="00181819">
        <w:rPr>
          <w:sz w:val="24"/>
          <w:szCs w:val="24"/>
        </w:rPr>
        <w:t>Mjere i aktivnosti navedene u planu za 201</w:t>
      </w:r>
      <w:r w:rsidR="009010CD">
        <w:rPr>
          <w:sz w:val="24"/>
          <w:szCs w:val="24"/>
        </w:rPr>
        <w:t>8</w:t>
      </w:r>
      <w:r w:rsidRPr="00181819">
        <w:rPr>
          <w:sz w:val="24"/>
          <w:szCs w:val="24"/>
        </w:rPr>
        <w:t>. godinu, finansiraće se uglavnom iz opštinskog budžeta, ali i iz drugih izvora, poput dostupnih evropskih fondova i donacija.</w:t>
      </w:r>
    </w:p>
    <w:p w:rsidR="00BB6FEF" w:rsidRPr="00181819" w:rsidRDefault="00BB6FEF" w:rsidP="00A36E0F">
      <w:pPr>
        <w:ind w:firstLine="360"/>
        <w:jc w:val="both"/>
        <w:rPr>
          <w:sz w:val="24"/>
          <w:szCs w:val="24"/>
        </w:rPr>
      </w:pPr>
    </w:p>
    <w:p w:rsidR="00A64107" w:rsidRDefault="00A64107">
      <w:pPr>
        <w:rPr>
          <w:b/>
          <w:sz w:val="24"/>
          <w:szCs w:val="24"/>
        </w:rPr>
      </w:pPr>
      <w:r>
        <w:rPr>
          <w:b/>
          <w:sz w:val="24"/>
          <w:szCs w:val="24"/>
        </w:rPr>
        <w:br w:type="page"/>
      </w:r>
    </w:p>
    <w:p w:rsidR="00944F58" w:rsidRPr="00181819" w:rsidRDefault="0007319B" w:rsidP="0007319B">
      <w:pPr>
        <w:pStyle w:val="Heading2"/>
      </w:pPr>
      <w:bookmarkStart w:id="5" w:name="_Toc506378285"/>
      <w:r>
        <w:lastRenderedPageBreak/>
        <w:t xml:space="preserve">2.2 </w:t>
      </w:r>
      <w:r w:rsidR="00944F58" w:rsidRPr="00181819">
        <w:t>Ciljevi godišnjeg plana poboljšanja energetske efikasnosti</w:t>
      </w:r>
      <w:bookmarkEnd w:id="5"/>
    </w:p>
    <w:p w:rsidR="00A36E0F" w:rsidRPr="00181819" w:rsidRDefault="00A36E0F" w:rsidP="00A36E0F">
      <w:pPr>
        <w:tabs>
          <w:tab w:val="left" w:pos="426"/>
        </w:tabs>
        <w:jc w:val="both"/>
        <w:rPr>
          <w:sz w:val="24"/>
          <w:szCs w:val="24"/>
        </w:rPr>
      </w:pPr>
      <w:r w:rsidRPr="00181819">
        <w:rPr>
          <w:sz w:val="24"/>
          <w:szCs w:val="24"/>
        </w:rPr>
        <w:tab/>
      </w:r>
      <w:r w:rsidR="00944F58" w:rsidRPr="00181819">
        <w:rPr>
          <w:sz w:val="24"/>
          <w:szCs w:val="24"/>
        </w:rPr>
        <w:t>Godišnji plan poboljšanja energetske efikasnosti za 201</w:t>
      </w:r>
      <w:r w:rsidR="009010CD">
        <w:rPr>
          <w:sz w:val="24"/>
          <w:szCs w:val="24"/>
        </w:rPr>
        <w:t>8</w:t>
      </w:r>
      <w:r w:rsidR="00944F58" w:rsidRPr="00181819">
        <w:rPr>
          <w:sz w:val="24"/>
          <w:szCs w:val="24"/>
        </w:rPr>
        <w:t xml:space="preserve">. </w:t>
      </w:r>
      <w:r w:rsidR="00D976C9" w:rsidRPr="00181819">
        <w:rPr>
          <w:sz w:val="24"/>
          <w:szCs w:val="24"/>
        </w:rPr>
        <w:t>g</w:t>
      </w:r>
      <w:r w:rsidR="00944F58" w:rsidRPr="00181819">
        <w:rPr>
          <w:sz w:val="24"/>
          <w:szCs w:val="24"/>
        </w:rPr>
        <w:t>odinu usklađen je sa</w:t>
      </w:r>
      <w:r w:rsidR="00D976C9" w:rsidRPr="00181819">
        <w:rPr>
          <w:sz w:val="24"/>
          <w:szCs w:val="24"/>
        </w:rPr>
        <w:t xml:space="preserve"> </w:t>
      </w:r>
      <w:r w:rsidR="0036125B" w:rsidRPr="00181819">
        <w:rPr>
          <w:sz w:val="24"/>
          <w:szCs w:val="24"/>
        </w:rPr>
        <w:t>trogodišnjim Programom poboljšanja energetske efikasnosti opštine Tivat (201</w:t>
      </w:r>
      <w:r w:rsidR="009010CD">
        <w:rPr>
          <w:sz w:val="24"/>
          <w:szCs w:val="24"/>
        </w:rPr>
        <w:t>8. – 2020</w:t>
      </w:r>
      <w:r w:rsidR="0036125B" w:rsidRPr="00181819">
        <w:rPr>
          <w:sz w:val="24"/>
          <w:szCs w:val="24"/>
        </w:rPr>
        <w:t xml:space="preserve">.) </w:t>
      </w:r>
      <w:r w:rsidR="0036125B">
        <w:rPr>
          <w:sz w:val="24"/>
          <w:szCs w:val="24"/>
        </w:rPr>
        <w:t xml:space="preserve">kao i </w:t>
      </w:r>
      <w:r w:rsidR="00D976C9" w:rsidRPr="00181819">
        <w:rPr>
          <w:sz w:val="24"/>
          <w:szCs w:val="24"/>
        </w:rPr>
        <w:t>Akcionim planom energetske efikasnosti Crne Gore (2016. – 2018.) i</w:t>
      </w:r>
      <w:r w:rsidR="00944F58" w:rsidRPr="00181819">
        <w:rPr>
          <w:sz w:val="24"/>
          <w:szCs w:val="24"/>
        </w:rPr>
        <w:t xml:space="preserve"> i predstavlja osnovni dokument koji na bazi prikupljenih podataka o </w:t>
      </w:r>
      <w:r w:rsidR="009010CD">
        <w:rPr>
          <w:sz w:val="24"/>
          <w:szCs w:val="24"/>
        </w:rPr>
        <w:t>trenutnom</w:t>
      </w:r>
      <w:r w:rsidR="00944F58" w:rsidRPr="00181819">
        <w:rPr>
          <w:sz w:val="24"/>
          <w:szCs w:val="24"/>
        </w:rPr>
        <w:t xml:space="preserve"> stanju identifikuje i daje precizne i jasne odrednice za sprovođenje projekata i mjera en</w:t>
      </w:r>
      <w:r w:rsidR="00D976C9" w:rsidRPr="00181819">
        <w:rPr>
          <w:sz w:val="24"/>
          <w:szCs w:val="24"/>
        </w:rPr>
        <w:t>ergetske efikasnosti i</w:t>
      </w:r>
      <w:r w:rsidR="00944F58" w:rsidRPr="00181819">
        <w:rPr>
          <w:sz w:val="24"/>
          <w:szCs w:val="24"/>
        </w:rPr>
        <w:t xml:space="preserve"> korišćenja obnovljivih izvora energije na opštinskom nivou za navedenu godinu. </w:t>
      </w:r>
    </w:p>
    <w:p w:rsidR="00D976C9" w:rsidRPr="00181819" w:rsidRDefault="00A36E0F" w:rsidP="00A36E0F">
      <w:pPr>
        <w:tabs>
          <w:tab w:val="left" w:pos="426"/>
        </w:tabs>
        <w:jc w:val="both"/>
        <w:rPr>
          <w:sz w:val="24"/>
          <w:szCs w:val="24"/>
        </w:rPr>
      </w:pPr>
      <w:r w:rsidRPr="00181819">
        <w:rPr>
          <w:sz w:val="24"/>
          <w:szCs w:val="24"/>
        </w:rPr>
        <w:tab/>
      </w:r>
      <w:r w:rsidR="00944F58" w:rsidRPr="00181819">
        <w:rPr>
          <w:sz w:val="24"/>
          <w:szCs w:val="24"/>
        </w:rPr>
        <w:t>Prihvatanje godišnjeg plana kao službenog, implementacionog dokumenta opštine Tivat za 201</w:t>
      </w:r>
      <w:r w:rsidR="00A64107">
        <w:rPr>
          <w:sz w:val="24"/>
          <w:szCs w:val="24"/>
        </w:rPr>
        <w:t>8</w:t>
      </w:r>
      <w:r w:rsidR="00944F58" w:rsidRPr="00181819">
        <w:rPr>
          <w:sz w:val="24"/>
          <w:szCs w:val="24"/>
        </w:rPr>
        <w:t xml:space="preserve">. </w:t>
      </w:r>
      <w:r w:rsidR="00D976C9" w:rsidRPr="00181819">
        <w:rPr>
          <w:sz w:val="24"/>
          <w:szCs w:val="24"/>
        </w:rPr>
        <w:t>g</w:t>
      </w:r>
      <w:r w:rsidR="00944F58" w:rsidRPr="00181819">
        <w:rPr>
          <w:sz w:val="24"/>
          <w:szCs w:val="24"/>
        </w:rPr>
        <w:t>odinu je ključni element za njegovu realizaciju, te ostvarenje cilja smanjenja CO2 i planiranih energetskih ušteda u narednom periodu</w:t>
      </w:r>
      <w:r w:rsidR="00D976C9" w:rsidRPr="00181819">
        <w:rPr>
          <w:sz w:val="24"/>
          <w:szCs w:val="24"/>
        </w:rPr>
        <w:t>, uz poboljšanje komfora i uslova života u opštini. Iz tog razloga, s jedne strane, važno je da su vodeći ljudi gradske uprave uključeni u proces i</w:t>
      </w:r>
      <w:r w:rsidR="0036125B">
        <w:rPr>
          <w:sz w:val="24"/>
          <w:szCs w:val="24"/>
        </w:rPr>
        <w:t>zrade, implementacije i praćenje</w:t>
      </w:r>
      <w:r w:rsidR="00D976C9" w:rsidRPr="00181819">
        <w:rPr>
          <w:sz w:val="24"/>
          <w:szCs w:val="24"/>
        </w:rPr>
        <w:t xml:space="preserve"> plana. Od posebnog značaja u realizaciji plana je i uloga nadležnog Sekretarijata, koji će raditi na realizaciji predviđenih aktivnosti. </w:t>
      </w:r>
    </w:p>
    <w:p w:rsidR="00D976C9" w:rsidRPr="00181819" w:rsidRDefault="00241B09" w:rsidP="00944F58">
      <w:pPr>
        <w:tabs>
          <w:tab w:val="left" w:pos="1418"/>
        </w:tabs>
        <w:jc w:val="both"/>
        <w:rPr>
          <w:sz w:val="24"/>
          <w:szCs w:val="24"/>
        </w:rPr>
      </w:pPr>
      <w:r w:rsidRPr="00181819">
        <w:rPr>
          <w:sz w:val="24"/>
          <w:szCs w:val="24"/>
        </w:rPr>
        <w:t>Osnovni ciljevi plana za 201</w:t>
      </w:r>
      <w:r w:rsidR="009010CD">
        <w:rPr>
          <w:sz w:val="24"/>
          <w:szCs w:val="24"/>
        </w:rPr>
        <w:t>8</w:t>
      </w:r>
      <w:r w:rsidRPr="00181819">
        <w:rPr>
          <w:sz w:val="24"/>
          <w:szCs w:val="24"/>
        </w:rPr>
        <w:t>. g</w:t>
      </w:r>
      <w:r w:rsidR="00D976C9" w:rsidRPr="00181819">
        <w:rPr>
          <w:sz w:val="24"/>
          <w:szCs w:val="24"/>
        </w:rPr>
        <w:t>odinu su:</w:t>
      </w:r>
    </w:p>
    <w:p w:rsidR="00BA0714" w:rsidRDefault="00BA0714" w:rsidP="006114E8">
      <w:pPr>
        <w:pStyle w:val="ListParagraph"/>
        <w:numPr>
          <w:ilvl w:val="0"/>
          <w:numId w:val="7"/>
        </w:numPr>
        <w:tabs>
          <w:tab w:val="left" w:pos="567"/>
        </w:tabs>
        <w:ind w:left="0" w:firstLine="426"/>
        <w:jc w:val="both"/>
        <w:rPr>
          <w:sz w:val="24"/>
          <w:szCs w:val="24"/>
        </w:rPr>
      </w:pPr>
      <w:r>
        <w:rPr>
          <w:sz w:val="24"/>
          <w:szCs w:val="24"/>
        </w:rPr>
        <w:t>Završetak započetog</w:t>
      </w:r>
      <w:r w:rsidR="00847D12" w:rsidRPr="00BA0714">
        <w:rPr>
          <w:sz w:val="24"/>
          <w:szCs w:val="24"/>
        </w:rPr>
        <w:t xml:space="preserve"> projekta geografskog informacionog sistema (GIS) javne rasvjete </w:t>
      </w:r>
    </w:p>
    <w:p w:rsidR="00847D12" w:rsidRPr="00BA0714" w:rsidRDefault="00847D12" w:rsidP="006114E8">
      <w:pPr>
        <w:pStyle w:val="ListParagraph"/>
        <w:numPr>
          <w:ilvl w:val="0"/>
          <w:numId w:val="7"/>
        </w:numPr>
        <w:tabs>
          <w:tab w:val="left" w:pos="567"/>
        </w:tabs>
        <w:ind w:left="0" w:firstLine="426"/>
        <w:jc w:val="both"/>
        <w:rPr>
          <w:sz w:val="24"/>
          <w:szCs w:val="24"/>
        </w:rPr>
      </w:pPr>
      <w:r w:rsidRPr="00BA0714">
        <w:rPr>
          <w:sz w:val="24"/>
          <w:szCs w:val="24"/>
        </w:rPr>
        <w:t>Nastavak zamjene unutrašnjeg osvjetljenja LED osvjetljenjem u objektima čiji je v</w:t>
      </w:r>
      <w:r w:rsidR="006114E8" w:rsidRPr="00BA0714">
        <w:rPr>
          <w:sz w:val="24"/>
          <w:szCs w:val="24"/>
        </w:rPr>
        <w:t>lasnik Opština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Izgradnja solarnog sistema za zagrijavanje vode u Sportskoj dvorani „Župa“</w:t>
      </w:r>
    </w:p>
    <w:p w:rsidR="002C3E06" w:rsidRDefault="002C3E06" w:rsidP="006114E8">
      <w:pPr>
        <w:pStyle w:val="ListParagraph"/>
        <w:numPr>
          <w:ilvl w:val="0"/>
          <w:numId w:val="7"/>
        </w:numPr>
        <w:tabs>
          <w:tab w:val="left" w:pos="567"/>
        </w:tabs>
        <w:ind w:left="0" w:firstLine="426"/>
        <w:jc w:val="both"/>
        <w:rPr>
          <w:sz w:val="24"/>
          <w:szCs w:val="24"/>
        </w:rPr>
      </w:pPr>
      <w:r>
        <w:rPr>
          <w:sz w:val="24"/>
          <w:szCs w:val="24"/>
        </w:rPr>
        <w:t>Zamjena bravarije na objektu Sportske dvorane „Župe“</w:t>
      </w:r>
    </w:p>
    <w:p w:rsidR="002C3E06" w:rsidRDefault="002C3E06" w:rsidP="006114E8">
      <w:pPr>
        <w:pStyle w:val="ListParagraph"/>
        <w:numPr>
          <w:ilvl w:val="0"/>
          <w:numId w:val="7"/>
        </w:numPr>
        <w:tabs>
          <w:tab w:val="left" w:pos="567"/>
        </w:tabs>
        <w:ind w:left="0" w:firstLine="426"/>
        <w:jc w:val="both"/>
        <w:rPr>
          <w:sz w:val="24"/>
          <w:szCs w:val="24"/>
        </w:rPr>
      </w:pPr>
      <w:r>
        <w:rPr>
          <w:sz w:val="24"/>
          <w:szCs w:val="24"/>
        </w:rPr>
        <w:t>Rekonstrukcija dijela krova na objektu Sportske dvorane „Župa“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 xml:space="preserve">Rekonstrukcija dijela javne rasvjete za koju je </w:t>
      </w:r>
      <w:r w:rsidR="005C4DAC">
        <w:rPr>
          <w:sz w:val="24"/>
          <w:szCs w:val="24"/>
        </w:rPr>
        <w:t>pripremljena</w:t>
      </w:r>
      <w:r>
        <w:rPr>
          <w:sz w:val="24"/>
          <w:szCs w:val="24"/>
        </w:rPr>
        <w:t xml:space="preserve"> projektna dokumentacija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Izrada detaljnih energetskih pregleda objekata čiji je vlasnik Opština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Obezbjeđenje beskamatnih namjenskih kredita za građane, usmjerenih na poboljšanje energetskih karakteristika kuća i stanova</w:t>
      </w:r>
    </w:p>
    <w:p w:rsidR="006114E8" w:rsidRDefault="005C4DAC" w:rsidP="006114E8">
      <w:pPr>
        <w:pStyle w:val="ListParagraph"/>
        <w:numPr>
          <w:ilvl w:val="0"/>
          <w:numId w:val="7"/>
        </w:numPr>
        <w:tabs>
          <w:tab w:val="left" w:pos="567"/>
        </w:tabs>
        <w:ind w:left="0" w:firstLine="426"/>
        <w:jc w:val="both"/>
        <w:rPr>
          <w:sz w:val="24"/>
          <w:szCs w:val="24"/>
        </w:rPr>
      </w:pPr>
      <w:r>
        <w:rPr>
          <w:sz w:val="24"/>
          <w:szCs w:val="24"/>
        </w:rPr>
        <w:t>Rekonstrukcija</w:t>
      </w:r>
      <w:r w:rsidR="006114E8">
        <w:rPr>
          <w:sz w:val="24"/>
          <w:szCs w:val="24"/>
        </w:rPr>
        <w:t xml:space="preserve"> objekta Centra za kulturu</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 xml:space="preserve">Priprema projektne dokumentacije za </w:t>
      </w:r>
      <w:r w:rsidR="00B82492">
        <w:rPr>
          <w:sz w:val="24"/>
          <w:szCs w:val="24"/>
        </w:rPr>
        <w:t>uspostavljanje infrastrukture za realizaciju projekta energetski održivog objekta sa prostorom neophodnim za realizaciju mjera unapređenja životne sredine i poljoprivrede, kroz kontinuiran proces edukacije sa ciljem akcentovanja gradskog zelenila kao uređene površine za javne namjene, u smislu unapređenja standarda života i znanja zajednice</w:t>
      </w:r>
    </w:p>
    <w:p w:rsidR="005C4413" w:rsidRDefault="00491872" w:rsidP="006114E8">
      <w:pPr>
        <w:pStyle w:val="ListParagraph"/>
        <w:numPr>
          <w:ilvl w:val="0"/>
          <w:numId w:val="7"/>
        </w:numPr>
        <w:tabs>
          <w:tab w:val="left" w:pos="567"/>
        </w:tabs>
        <w:ind w:left="0" w:firstLine="426"/>
        <w:jc w:val="both"/>
        <w:rPr>
          <w:sz w:val="24"/>
          <w:szCs w:val="24"/>
        </w:rPr>
      </w:pPr>
      <w:r>
        <w:rPr>
          <w:sz w:val="24"/>
          <w:szCs w:val="24"/>
        </w:rPr>
        <w:t>Podrška implementaciji</w:t>
      </w:r>
      <w:r w:rsidR="005C4413">
        <w:rPr>
          <w:sz w:val="24"/>
          <w:szCs w:val="24"/>
        </w:rPr>
        <w:t xml:space="preserve"> ideje uspostavljanja pomorskog saobraćaja uvođenjem brodova na solarni pogon, u skladu sa Policentričnim planom održive urbane mobilnosti za Boku Kotorsku i prijestonicu Cetinje, koja je studija izrađena kroz projekat „Razvoj niskokarbonskog turizma u Crnoj Gori“ koji sprovodi UNDP</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Poboljšanje energetskih karakteristika u sistemu vodosnabdijevanja i sistemu za odvođenje otpadnih voda</w:t>
      </w:r>
      <w:r w:rsidR="0026761C">
        <w:rPr>
          <w:sz w:val="24"/>
          <w:szCs w:val="24"/>
        </w:rPr>
        <w:t xml:space="preserve"> (SCADA sistemi)</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Naglasak na energetsku efikasnost u svim investicijama čiji je nosilac Opština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Elektrifikacija Velikog gradskog parka sa posebnim osvrtom na energetsku efikasnost korišćenih komponenti osvjetljenja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lastRenderedPageBreak/>
        <w:t>Učeš</w:t>
      </w:r>
      <w:r w:rsidR="005C4DAC">
        <w:rPr>
          <w:sz w:val="24"/>
          <w:szCs w:val="24"/>
        </w:rPr>
        <w:t xml:space="preserve">će u rekonstrukciji krova </w:t>
      </w:r>
      <w:r w:rsidR="0026761C">
        <w:rPr>
          <w:sz w:val="24"/>
          <w:szCs w:val="24"/>
        </w:rPr>
        <w:t>O</w:t>
      </w:r>
      <w:r w:rsidR="005C4DAC">
        <w:rPr>
          <w:sz w:val="24"/>
          <w:szCs w:val="24"/>
        </w:rPr>
        <w:t xml:space="preserve">snovne škole „Branko Brinić“ </w:t>
      </w:r>
      <w:r>
        <w:rPr>
          <w:sz w:val="24"/>
          <w:szCs w:val="24"/>
        </w:rPr>
        <w:t>u Radovićima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Zamjena stolarije u objektu „Galerija i Muzej“</w:t>
      </w:r>
    </w:p>
    <w:p w:rsidR="006114E8" w:rsidRDefault="0026761C" w:rsidP="006114E8">
      <w:pPr>
        <w:pStyle w:val="ListParagraph"/>
        <w:numPr>
          <w:ilvl w:val="0"/>
          <w:numId w:val="7"/>
        </w:numPr>
        <w:tabs>
          <w:tab w:val="left" w:pos="567"/>
        </w:tabs>
        <w:ind w:left="0" w:firstLine="426"/>
        <w:jc w:val="both"/>
        <w:rPr>
          <w:sz w:val="24"/>
          <w:szCs w:val="24"/>
        </w:rPr>
      </w:pPr>
      <w:r>
        <w:rPr>
          <w:sz w:val="24"/>
          <w:szCs w:val="24"/>
        </w:rPr>
        <w:t>Učešće u zamjeni</w:t>
      </w:r>
      <w:r w:rsidR="006114E8">
        <w:rPr>
          <w:sz w:val="24"/>
          <w:szCs w:val="24"/>
        </w:rPr>
        <w:t xml:space="preserve"> stolarije na objektu Srednje mješovite škole „Mladost“</w:t>
      </w:r>
    </w:p>
    <w:p w:rsidR="005C4DAC" w:rsidRDefault="005C4DAC" w:rsidP="006114E8">
      <w:pPr>
        <w:pStyle w:val="ListParagraph"/>
        <w:numPr>
          <w:ilvl w:val="0"/>
          <w:numId w:val="7"/>
        </w:numPr>
        <w:tabs>
          <w:tab w:val="left" w:pos="567"/>
        </w:tabs>
        <w:ind w:left="0" w:firstLine="426"/>
        <w:jc w:val="both"/>
        <w:rPr>
          <w:sz w:val="24"/>
          <w:szCs w:val="24"/>
        </w:rPr>
      </w:pPr>
      <w:r>
        <w:rPr>
          <w:sz w:val="24"/>
          <w:szCs w:val="24"/>
        </w:rPr>
        <w:t>Ugradnja sistema za grijanje i klimatizaciju u objektu gradske pijace</w:t>
      </w:r>
    </w:p>
    <w:p w:rsidR="00BA0714" w:rsidRPr="00BA0714" w:rsidRDefault="008940D5" w:rsidP="006114E8">
      <w:pPr>
        <w:pStyle w:val="ListParagraph"/>
        <w:numPr>
          <w:ilvl w:val="0"/>
          <w:numId w:val="7"/>
        </w:numPr>
        <w:tabs>
          <w:tab w:val="left" w:pos="567"/>
        </w:tabs>
        <w:ind w:left="0" w:firstLine="426"/>
        <w:jc w:val="both"/>
        <w:rPr>
          <w:sz w:val="24"/>
          <w:szCs w:val="24"/>
        </w:rPr>
      </w:pPr>
      <w:r w:rsidRPr="00BA0714">
        <w:rPr>
          <w:sz w:val="24"/>
          <w:szCs w:val="24"/>
        </w:rPr>
        <w:t>Inicijativa za izmjenu Odluke o porezu na nepokretnosti za objekte na kojima su implementirane mjere energetske efikasnosti</w:t>
      </w:r>
    </w:p>
    <w:p w:rsidR="006114E8" w:rsidRPr="00BA0714" w:rsidRDefault="006114E8" w:rsidP="006114E8">
      <w:pPr>
        <w:pStyle w:val="ListParagraph"/>
        <w:numPr>
          <w:ilvl w:val="0"/>
          <w:numId w:val="7"/>
        </w:numPr>
        <w:tabs>
          <w:tab w:val="left" w:pos="567"/>
        </w:tabs>
        <w:ind w:left="0" w:firstLine="426"/>
        <w:jc w:val="both"/>
        <w:rPr>
          <w:sz w:val="24"/>
          <w:szCs w:val="24"/>
        </w:rPr>
      </w:pPr>
      <w:r w:rsidRPr="00BA0714">
        <w:rPr>
          <w:sz w:val="24"/>
          <w:szCs w:val="24"/>
        </w:rPr>
        <w:t xml:space="preserve">Edukacija stanovništva kroz organizovanje manifestacija povodom </w:t>
      </w:r>
      <w:r w:rsidR="005C4DAC" w:rsidRPr="00BA0714">
        <w:rPr>
          <w:sz w:val="24"/>
          <w:szCs w:val="24"/>
        </w:rPr>
        <w:t>S</w:t>
      </w:r>
      <w:r w:rsidRPr="00BA0714">
        <w:rPr>
          <w:sz w:val="24"/>
          <w:szCs w:val="24"/>
        </w:rPr>
        <w:t xml:space="preserve">vjetskog dana </w:t>
      </w:r>
      <w:r w:rsidR="005C4DAC" w:rsidRPr="00BA0714">
        <w:rPr>
          <w:sz w:val="24"/>
          <w:szCs w:val="24"/>
        </w:rPr>
        <w:t>e</w:t>
      </w:r>
      <w:r w:rsidRPr="00BA0714">
        <w:rPr>
          <w:sz w:val="24"/>
          <w:szCs w:val="24"/>
        </w:rPr>
        <w:t>nergetske efikasnosti</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Aktivnosti usmjerene na obilježavanje Evropske nedjelje mobilnosti</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Dodjela eko-sertifikata ugostiteljskim objektima</w:t>
      </w:r>
    </w:p>
    <w:p w:rsidR="006114E8" w:rsidRDefault="006114E8" w:rsidP="006114E8">
      <w:pPr>
        <w:pStyle w:val="ListParagraph"/>
        <w:numPr>
          <w:ilvl w:val="0"/>
          <w:numId w:val="7"/>
        </w:numPr>
        <w:tabs>
          <w:tab w:val="left" w:pos="567"/>
        </w:tabs>
        <w:ind w:left="0" w:firstLine="426"/>
        <w:jc w:val="both"/>
        <w:rPr>
          <w:sz w:val="24"/>
          <w:szCs w:val="24"/>
        </w:rPr>
      </w:pPr>
      <w:r>
        <w:rPr>
          <w:sz w:val="24"/>
          <w:szCs w:val="24"/>
        </w:rPr>
        <w:t xml:space="preserve">Usavršavanje kadra </w:t>
      </w:r>
      <w:r w:rsidR="005133E2">
        <w:rPr>
          <w:sz w:val="24"/>
          <w:szCs w:val="24"/>
        </w:rPr>
        <w:t>zaduženog</w:t>
      </w:r>
      <w:r>
        <w:rPr>
          <w:sz w:val="24"/>
          <w:szCs w:val="24"/>
        </w:rPr>
        <w:t xml:space="preserve"> za energetski menadžment</w:t>
      </w:r>
    </w:p>
    <w:p w:rsidR="00241B09" w:rsidRPr="0047522B" w:rsidRDefault="0047522B" w:rsidP="0047522B">
      <w:pPr>
        <w:pStyle w:val="ListParagraph"/>
        <w:numPr>
          <w:ilvl w:val="0"/>
          <w:numId w:val="7"/>
        </w:numPr>
        <w:tabs>
          <w:tab w:val="left" w:pos="567"/>
        </w:tabs>
        <w:ind w:left="0" w:firstLine="426"/>
        <w:jc w:val="both"/>
        <w:rPr>
          <w:sz w:val="24"/>
          <w:szCs w:val="24"/>
        </w:rPr>
      </w:pPr>
      <w:r>
        <w:rPr>
          <w:sz w:val="24"/>
          <w:szCs w:val="24"/>
        </w:rPr>
        <w:t>Sprovođenje aktivnosti projekta „IRENE – Interregional Renewable &amp; ENEergy efficiency network“ koji Opština Tivat implementira u sklopu programa Interreg IPA CBC Hrvatska – Bosna i Hercegovina – Crna Gora, formiranje EE Tima</w:t>
      </w:r>
    </w:p>
    <w:p w:rsidR="004A212C" w:rsidRPr="0047522B" w:rsidRDefault="003C22D5" w:rsidP="0007319B">
      <w:pPr>
        <w:pStyle w:val="Heading1"/>
        <w:numPr>
          <w:ilvl w:val="0"/>
          <w:numId w:val="18"/>
        </w:numPr>
      </w:pPr>
      <w:r w:rsidRPr="0047522B">
        <w:br w:type="page"/>
      </w:r>
      <w:bookmarkStart w:id="6" w:name="_Toc506378286"/>
      <w:r w:rsidR="00A36E0F" w:rsidRPr="0047522B">
        <w:lastRenderedPageBreak/>
        <w:t>PLANIRANE MJERE ZA POBOLJŠANJE ENERGETSKE EFIKASNOSTI</w:t>
      </w:r>
      <w:bookmarkEnd w:id="6"/>
    </w:p>
    <w:p w:rsidR="00A36E0F" w:rsidRDefault="005C01B7" w:rsidP="00A36E0F">
      <w:pPr>
        <w:jc w:val="both"/>
        <w:rPr>
          <w:sz w:val="24"/>
          <w:szCs w:val="24"/>
        </w:rPr>
      </w:pPr>
      <w:r w:rsidRPr="005C01B7">
        <w:rPr>
          <w:sz w:val="24"/>
          <w:szCs w:val="24"/>
        </w:rPr>
        <w:t xml:space="preserve">Tabela 3.1 prikazuje spisak mjera za poboljšanje energetske efikasnosti koje su planirane za </w:t>
      </w:r>
      <w:r w:rsidR="0099272A">
        <w:rPr>
          <w:sz w:val="24"/>
          <w:szCs w:val="24"/>
        </w:rPr>
        <w:t>201</w:t>
      </w:r>
      <w:r w:rsidR="005133E2">
        <w:rPr>
          <w:sz w:val="24"/>
          <w:szCs w:val="24"/>
        </w:rPr>
        <w:t>8</w:t>
      </w:r>
      <w:r w:rsidR="0099272A">
        <w:rPr>
          <w:sz w:val="24"/>
          <w:szCs w:val="24"/>
        </w:rPr>
        <w:t>.</w:t>
      </w:r>
      <w:r w:rsidRPr="005C01B7">
        <w:rPr>
          <w:sz w:val="24"/>
          <w:szCs w:val="24"/>
        </w:rPr>
        <w:t xml:space="preserve"> godinu uz informacije o vremenskom okviu i angažmanima implementacije.</w:t>
      </w:r>
    </w:p>
    <w:p w:rsidR="00012608" w:rsidRPr="00012608" w:rsidRDefault="00012608" w:rsidP="00012608">
      <w:pPr>
        <w:ind w:left="360"/>
        <w:jc w:val="both"/>
        <w:rPr>
          <w:b/>
          <w:sz w:val="24"/>
          <w:szCs w:val="24"/>
        </w:rPr>
      </w:pPr>
      <w:r>
        <w:rPr>
          <w:b/>
          <w:sz w:val="24"/>
          <w:szCs w:val="24"/>
        </w:rPr>
        <w:t>Tabela 3.1. Mjere za poboljšanje energetske efikasnosti</w:t>
      </w:r>
    </w:p>
    <w:tbl>
      <w:tblPr>
        <w:tblStyle w:val="TableGrid"/>
        <w:tblW w:w="9286" w:type="dxa"/>
        <w:tblLayout w:type="fixed"/>
        <w:tblLook w:val="04A0" w:firstRow="1" w:lastRow="0" w:firstColumn="1" w:lastColumn="0" w:noHBand="0" w:noVBand="1"/>
      </w:tblPr>
      <w:tblGrid>
        <w:gridCol w:w="675"/>
        <w:gridCol w:w="1429"/>
        <w:gridCol w:w="2257"/>
        <w:gridCol w:w="1276"/>
        <w:gridCol w:w="992"/>
        <w:gridCol w:w="1313"/>
        <w:gridCol w:w="1344"/>
      </w:tblGrid>
      <w:tr w:rsidR="00454A3B" w:rsidRPr="005C01B7" w:rsidTr="0037534F">
        <w:trPr>
          <w:trHeight w:val="2272"/>
          <w:tblHeader/>
        </w:trPr>
        <w:tc>
          <w:tcPr>
            <w:tcW w:w="675" w:type="dxa"/>
            <w:shd w:val="clear" w:color="auto" w:fill="EAF1DD" w:themeFill="accent3" w:themeFillTint="33"/>
            <w:tcMar>
              <w:left w:w="28" w:type="dxa"/>
              <w:right w:w="28" w:type="dxa"/>
            </w:tcMar>
            <w:vAlign w:val="center"/>
          </w:tcPr>
          <w:p w:rsidR="005C01B7" w:rsidRPr="00454A3B" w:rsidRDefault="005C01B7" w:rsidP="003C41D6">
            <w:pPr>
              <w:jc w:val="center"/>
              <w:rPr>
                <w:b/>
                <w:sz w:val="18"/>
                <w:szCs w:val="24"/>
              </w:rPr>
            </w:pPr>
            <w:r w:rsidRPr="00454A3B">
              <w:rPr>
                <w:b/>
                <w:sz w:val="18"/>
                <w:szCs w:val="24"/>
              </w:rPr>
              <w:t>Br.</w:t>
            </w:r>
          </w:p>
        </w:tc>
        <w:tc>
          <w:tcPr>
            <w:tcW w:w="1429" w:type="dxa"/>
            <w:shd w:val="clear" w:color="auto" w:fill="EAF1DD" w:themeFill="accent3" w:themeFillTint="33"/>
            <w:tcMar>
              <w:left w:w="28" w:type="dxa"/>
              <w:right w:w="28" w:type="dxa"/>
            </w:tcMar>
            <w:vAlign w:val="center"/>
          </w:tcPr>
          <w:p w:rsidR="005C01B7" w:rsidRPr="005C01B7" w:rsidRDefault="005C01B7" w:rsidP="003C41D6">
            <w:pPr>
              <w:jc w:val="center"/>
              <w:rPr>
                <w:b/>
                <w:sz w:val="24"/>
                <w:szCs w:val="24"/>
              </w:rPr>
            </w:pPr>
            <w:r w:rsidRPr="005C01B7">
              <w:rPr>
                <w:b/>
                <w:sz w:val="24"/>
                <w:szCs w:val="24"/>
              </w:rPr>
              <w:t>Naziv mjere</w:t>
            </w:r>
          </w:p>
        </w:tc>
        <w:tc>
          <w:tcPr>
            <w:tcW w:w="2257" w:type="dxa"/>
            <w:shd w:val="clear" w:color="auto" w:fill="EAF1DD" w:themeFill="accent3" w:themeFillTint="33"/>
            <w:tcMar>
              <w:left w:w="28" w:type="dxa"/>
              <w:right w:w="28" w:type="dxa"/>
            </w:tcMar>
            <w:vAlign w:val="center"/>
          </w:tcPr>
          <w:p w:rsidR="005C01B7" w:rsidRPr="005C01B7" w:rsidRDefault="005C01B7" w:rsidP="003C41D6">
            <w:pPr>
              <w:jc w:val="center"/>
              <w:rPr>
                <w:b/>
                <w:sz w:val="24"/>
                <w:szCs w:val="24"/>
              </w:rPr>
            </w:pPr>
            <w:r w:rsidRPr="005C01B7">
              <w:rPr>
                <w:b/>
                <w:sz w:val="24"/>
                <w:szCs w:val="24"/>
              </w:rPr>
              <w:t>Kratak opis mjere</w:t>
            </w:r>
          </w:p>
        </w:tc>
        <w:tc>
          <w:tcPr>
            <w:tcW w:w="1276" w:type="dxa"/>
            <w:shd w:val="clear" w:color="auto" w:fill="EAF1DD" w:themeFill="accent3" w:themeFillTint="33"/>
            <w:tcMar>
              <w:left w:w="28" w:type="dxa"/>
              <w:right w:w="28" w:type="dxa"/>
            </w:tcMar>
            <w:vAlign w:val="center"/>
          </w:tcPr>
          <w:p w:rsidR="005C01B7" w:rsidRPr="005C01B7" w:rsidRDefault="005C01B7" w:rsidP="003C41D6">
            <w:pPr>
              <w:jc w:val="center"/>
              <w:rPr>
                <w:b/>
                <w:sz w:val="24"/>
                <w:szCs w:val="24"/>
              </w:rPr>
            </w:pPr>
            <w:r w:rsidRPr="005C01B7">
              <w:rPr>
                <w:b/>
                <w:sz w:val="24"/>
                <w:szCs w:val="24"/>
              </w:rPr>
              <w:t>Poziv na program energetske efikasnosti</w:t>
            </w:r>
          </w:p>
        </w:tc>
        <w:tc>
          <w:tcPr>
            <w:tcW w:w="992" w:type="dxa"/>
            <w:shd w:val="clear" w:color="auto" w:fill="EAF1DD" w:themeFill="accent3" w:themeFillTint="33"/>
            <w:tcMar>
              <w:left w:w="28" w:type="dxa"/>
              <w:right w:w="28" w:type="dxa"/>
            </w:tcMar>
            <w:vAlign w:val="center"/>
          </w:tcPr>
          <w:p w:rsidR="005C01B7" w:rsidRPr="00454A3B" w:rsidRDefault="005C01B7" w:rsidP="0026761C">
            <w:pPr>
              <w:jc w:val="center"/>
              <w:rPr>
                <w:b/>
                <w:szCs w:val="24"/>
              </w:rPr>
            </w:pPr>
            <w:r w:rsidRPr="00454A3B">
              <w:rPr>
                <w:b/>
                <w:szCs w:val="24"/>
              </w:rPr>
              <w:t>Period imple</w:t>
            </w:r>
            <w:r w:rsidR="0026761C">
              <w:rPr>
                <w:b/>
                <w:szCs w:val="24"/>
              </w:rPr>
              <w:t>-</w:t>
            </w:r>
            <w:r w:rsidRPr="00454A3B">
              <w:rPr>
                <w:b/>
                <w:szCs w:val="24"/>
              </w:rPr>
              <w:t>mentacije</w:t>
            </w:r>
          </w:p>
        </w:tc>
        <w:tc>
          <w:tcPr>
            <w:tcW w:w="1313" w:type="dxa"/>
            <w:shd w:val="clear" w:color="auto" w:fill="EAF1DD" w:themeFill="accent3" w:themeFillTint="33"/>
            <w:tcMar>
              <w:left w:w="28" w:type="dxa"/>
              <w:right w:w="28" w:type="dxa"/>
            </w:tcMar>
            <w:vAlign w:val="center"/>
          </w:tcPr>
          <w:p w:rsidR="005C01B7" w:rsidRPr="005C01B7" w:rsidRDefault="005C01B7" w:rsidP="003C41D6">
            <w:pPr>
              <w:jc w:val="center"/>
              <w:rPr>
                <w:b/>
                <w:sz w:val="24"/>
                <w:szCs w:val="24"/>
              </w:rPr>
            </w:pPr>
            <w:r w:rsidRPr="005C01B7">
              <w:rPr>
                <w:b/>
                <w:sz w:val="24"/>
                <w:szCs w:val="24"/>
              </w:rPr>
              <w:t>Odgovo</w:t>
            </w:r>
            <w:r w:rsidR="0026761C">
              <w:rPr>
                <w:b/>
                <w:sz w:val="24"/>
                <w:szCs w:val="24"/>
              </w:rPr>
              <w:t>-</w:t>
            </w:r>
            <w:r w:rsidRPr="005C01B7">
              <w:rPr>
                <w:b/>
                <w:sz w:val="24"/>
                <w:szCs w:val="24"/>
              </w:rPr>
              <w:t>rnost za impleme</w:t>
            </w:r>
            <w:r w:rsidR="00454A3B">
              <w:rPr>
                <w:b/>
                <w:sz w:val="24"/>
                <w:szCs w:val="24"/>
              </w:rPr>
              <w:t xml:space="preserve"> -</w:t>
            </w:r>
            <w:r w:rsidRPr="005C01B7">
              <w:rPr>
                <w:b/>
                <w:sz w:val="24"/>
                <w:szCs w:val="24"/>
              </w:rPr>
              <w:t>ntaciju</w:t>
            </w:r>
          </w:p>
        </w:tc>
        <w:tc>
          <w:tcPr>
            <w:tcW w:w="1344" w:type="dxa"/>
            <w:shd w:val="clear" w:color="auto" w:fill="EAF1DD" w:themeFill="accent3" w:themeFillTint="33"/>
            <w:tcMar>
              <w:left w:w="28" w:type="dxa"/>
              <w:right w:w="28" w:type="dxa"/>
            </w:tcMar>
            <w:vAlign w:val="center"/>
          </w:tcPr>
          <w:p w:rsidR="005C01B7" w:rsidRPr="005C01B7" w:rsidRDefault="005C01B7" w:rsidP="0037534F">
            <w:pPr>
              <w:jc w:val="center"/>
              <w:rPr>
                <w:b/>
                <w:sz w:val="24"/>
                <w:szCs w:val="24"/>
              </w:rPr>
            </w:pPr>
            <w:r w:rsidRPr="005C01B7">
              <w:rPr>
                <w:b/>
                <w:sz w:val="24"/>
                <w:szCs w:val="24"/>
              </w:rPr>
              <w:t>Aranžmani impleme</w:t>
            </w:r>
            <w:r w:rsidR="00454A3B">
              <w:rPr>
                <w:b/>
                <w:sz w:val="24"/>
                <w:szCs w:val="24"/>
              </w:rPr>
              <w:t>-</w:t>
            </w:r>
            <w:r w:rsidRPr="005C01B7">
              <w:rPr>
                <w:b/>
                <w:sz w:val="24"/>
                <w:szCs w:val="24"/>
              </w:rPr>
              <w:t xml:space="preserve">ntacije </w:t>
            </w:r>
            <w:r w:rsidR="0037534F">
              <w:rPr>
                <w:sz w:val="20"/>
                <w:szCs w:val="24"/>
              </w:rPr>
              <w:t>(tenderi, ugovori</w:t>
            </w:r>
            <w:r w:rsidRPr="003C41D6">
              <w:rPr>
                <w:sz w:val="20"/>
                <w:szCs w:val="24"/>
              </w:rPr>
              <w:t>, saradnja sa drugim stranama, i td.)</w:t>
            </w:r>
          </w:p>
        </w:tc>
      </w:tr>
      <w:tr w:rsidR="00454A3B" w:rsidRPr="000E54A2" w:rsidTr="0037534F">
        <w:tc>
          <w:tcPr>
            <w:tcW w:w="675" w:type="dxa"/>
            <w:shd w:val="clear" w:color="auto" w:fill="D9D9D9" w:themeFill="background1" w:themeFillShade="D9"/>
            <w:vAlign w:val="center"/>
          </w:tcPr>
          <w:p w:rsidR="003C41D6" w:rsidRPr="00454A3B" w:rsidRDefault="003C41D6" w:rsidP="005C01B7">
            <w:pPr>
              <w:rPr>
                <w:b/>
                <w:sz w:val="18"/>
                <w:szCs w:val="24"/>
              </w:rPr>
            </w:pPr>
            <w:r w:rsidRPr="00454A3B">
              <w:rPr>
                <w:b/>
                <w:sz w:val="18"/>
                <w:szCs w:val="24"/>
              </w:rPr>
              <w:t>EE1</w:t>
            </w:r>
          </w:p>
        </w:tc>
        <w:tc>
          <w:tcPr>
            <w:tcW w:w="3686" w:type="dxa"/>
            <w:gridSpan w:val="2"/>
            <w:shd w:val="clear" w:color="auto" w:fill="D9D9D9" w:themeFill="background1" w:themeFillShade="D9"/>
            <w:vAlign w:val="center"/>
          </w:tcPr>
          <w:p w:rsidR="003C41D6" w:rsidRPr="000E54A2" w:rsidRDefault="003C41D6" w:rsidP="005C01B7">
            <w:pPr>
              <w:rPr>
                <w:b/>
                <w:sz w:val="24"/>
                <w:szCs w:val="24"/>
              </w:rPr>
            </w:pPr>
            <w:r w:rsidRPr="000E54A2">
              <w:rPr>
                <w:b/>
                <w:sz w:val="24"/>
                <w:szCs w:val="24"/>
              </w:rPr>
              <w:t>RAZVOJ ENERGETSKOG MENADŽMENTA</w:t>
            </w:r>
          </w:p>
        </w:tc>
        <w:tc>
          <w:tcPr>
            <w:tcW w:w="1276" w:type="dxa"/>
            <w:shd w:val="clear" w:color="auto" w:fill="D9D9D9" w:themeFill="background1" w:themeFillShade="D9"/>
            <w:vAlign w:val="center"/>
          </w:tcPr>
          <w:p w:rsidR="003C41D6" w:rsidRPr="000E54A2" w:rsidRDefault="003C41D6" w:rsidP="005C01B7">
            <w:pPr>
              <w:rPr>
                <w:b/>
                <w:sz w:val="24"/>
                <w:szCs w:val="24"/>
              </w:rPr>
            </w:pPr>
          </w:p>
        </w:tc>
        <w:tc>
          <w:tcPr>
            <w:tcW w:w="992" w:type="dxa"/>
            <w:shd w:val="clear" w:color="auto" w:fill="D9D9D9" w:themeFill="background1" w:themeFillShade="D9"/>
            <w:vAlign w:val="center"/>
          </w:tcPr>
          <w:p w:rsidR="003C41D6" w:rsidRPr="000E54A2" w:rsidRDefault="003C41D6" w:rsidP="005C01B7">
            <w:pPr>
              <w:rPr>
                <w:b/>
                <w:sz w:val="24"/>
                <w:szCs w:val="24"/>
              </w:rPr>
            </w:pPr>
          </w:p>
        </w:tc>
        <w:tc>
          <w:tcPr>
            <w:tcW w:w="1313" w:type="dxa"/>
            <w:shd w:val="clear" w:color="auto" w:fill="D9D9D9" w:themeFill="background1" w:themeFillShade="D9"/>
            <w:vAlign w:val="center"/>
          </w:tcPr>
          <w:p w:rsidR="003C41D6" w:rsidRPr="000E54A2" w:rsidRDefault="003C41D6" w:rsidP="005C01B7">
            <w:pPr>
              <w:rPr>
                <w:b/>
                <w:sz w:val="24"/>
                <w:szCs w:val="24"/>
              </w:rPr>
            </w:pPr>
          </w:p>
        </w:tc>
        <w:tc>
          <w:tcPr>
            <w:tcW w:w="1344" w:type="dxa"/>
            <w:shd w:val="clear" w:color="auto" w:fill="D9D9D9" w:themeFill="background1" w:themeFillShade="D9"/>
            <w:vAlign w:val="center"/>
          </w:tcPr>
          <w:p w:rsidR="003C41D6" w:rsidRPr="000E54A2" w:rsidRDefault="003C41D6" w:rsidP="005C01B7">
            <w:pPr>
              <w:rPr>
                <w:b/>
                <w:sz w:val="24"/>
                <w:szCs w:val="24"/>
              </w:rPr>
            </w:pPr>
          </w:p>
        </w:tc>
      </w:tr>
      <w:tr w:rsidR="00454A3B" w:rsidTr="009A0495">
        <w:trPr>
          <w:trHeight w:val="8375"/>
        </w:trPr>
        <w:tc>
          <w:tcPr>
            <w:tcW w:w="675" w:type="dxa"/>
            <w:tcMar>
              <w:left w:w="28" w:type="dxa"/>
              <w:right w:w="28" w:type="dxa"/>
            </w:tcMar>
            <w:vAlign w:val="center"/>
          </w:tcPr>
          <w:p w:rsidR="005C01B7" w:rsidRPr="00454A3B" w:rsidRDefault="003C41D6" w:rsidP="0026761C">
            <w:pPr>
              <w:jc w:val="both"/>
              <w:rPr>
                <w:sz w:val="18"/>
                <w:szCs w:val="24"/>
              </w:rPr>
            </w:pPr>
            <w:r w:rsidRPr="00454A3B">
              <w:rPr>
                <w:sz w:val="18"/>
                <w:szCs w:val="24"/>
              </w:rPr>
              <w:t>EE1.1</w:t>
            </w:r>
          </w:p>
        </w:tc>
        <w:tc>
          <w:tcPr>
            <w:tcW w:w="1429" w:type="dxa"/>
            <w:tcMar>
              <w:left w:w="28" w:type="dxa"/>
              <w:right w:w="28" w:type="dxa"/>
            </w:tcMar>
            <w:vAlign w:val="center"/>
          </w:tcPr>
          <w:p w:rsidR="005C01B7" w:rsidRDefault="003C41D6" w:rsidP="0026761C">
            <w:pPr>
              <w:jc w:val="both"/>
              <w:rPr>
                <w:sz w:val="24"/>
                <w:szCs w:val="24"/>
              </w:rPr>
            </w:pPr>
            <w:r>
              <w:rPr>
                <w:sz w:val="24"/>
                <w:szCs w:val="24"/>
              </w:rPr>
              <w:t>Edukacija</w:t>
            </w:r>
          </w:p>
        </w:tc>
        <w:tc>
          <w:tcPr>
            <w:tcW w:w="2257" w:type="dxa"/>
            <w:tcMar>
              <w:left w:w="28" w:type="dxa"/>
              <w:right w:w="28" w:type="dxa"/>
            </w:tcMar>
            <w:vAlign w:val="center"/>
          </w:tcPr>
          <w:p w:rsidR="005C01B7" w:rsidRDefault="0026761C" w:rsidP="0026761C">
            <w:pPr>
              <w:jc w:val="both"/>
              <w:rPr>
                <w:sz w:val="24"/>
                <w:szCs w:val="24"/>
              </w:rPr>
            </w:pPr>
            <w:r>
              <w:rPr>
                <w:sz w:val="24"/>
                <w:szCs w:val="24"/>
              </w:rPr>
              <w:t>Energetski menadžer i tim zaposlenih koji se bave energetskom efikasnosti pohađaju obuke i radionice vezane za energetski menadžment u organima lokalne uprave, obzirom da se radi o jednom relativno novom domenu poslova koje obavlja lokalna uprava. Pored toga, učešće na međunarodnim sajmovima i konferencijama kako bi se upoznali sa primjerima dobre prakse na polju energetske efikasnosti. Stručne obuke svakako predstavljaju neizostavan dio razvoja energetskog menadžmenta.</w:t>
            </w:r>
          </w:p>
          <w:p w:rsidR="0026761C" w:rsidRDefault="0026761C" w:rsidP="0026761C">
            <w:pPr>
              <w:jc w:val="both"/>
              <w:rPr>
                <w:sz w:val="24"/>
                <w:szCs w:val="24"/>
              </w:rPr>
            </w:pPr>
          </w:p>
          <w:p w:rsidR="0037534F" w:rsidRDefault="0037534F" w:rsidP="0026761C">
            <w:pPr>
              <w:jc w:val="both"/>
              <w:rPr>
                <w:sz w:val="24"/>
                <w:szCs w:val="24"/>
              </w:rPr>
            </w:pPr>
          </w:p>
        </w:tc>
        <w:tc>
          <w:tcPr>
            <w:tcW w:w="1276" w:type="dxa"/>
            <w:tcMar>
              <w:left w:w="28" w:type="dxa"/>
              <w:right w:w="28" w:type="dxa"/>
            </w:tcMar>
            <w:vAlign w:val="center"/>
          </w:tcPr>
          <w:p w:rsidR="005C01B7" w:rsidRDefault="009B3958" w:rsidP="0026761C">
            <w:pPr>
              <w:jc w:val="both"/>
              <w:rPr>
                <w:sz w:val="24"/>
                <w:szCs w:val="24"/>
              </w:rPr>
            </w:pPr>
            <w:r>
              <w:rPr>
                <w:sz w:val="24"/>
                <w:szCs w:val="24"/>
              </w:rPr>
              <w:t>Razvoj energetskog menadžmenta</w:t>
            </w:r>
          </w:p>
        </w:tc>
        <w:tc>
          <w:tcPr>
            <w:tcW w:w="992" w:type="dxa"/>
            <w:tcMar>
              <w:left w:w="28" w:type="dxa"/>
              <w:right w:w="28" w:type="dxa"/>
            </w:tcMar>
            <w:vAlign w:val="center"/>
          </w:tcPr>
          <w:p w:rsidR="005C01B7" w:rsidRDefault="003C41D6" w:rsidP="0026761C">
            <w:pPr>
              <w:jc w:val="both"/>
              <w:rPr>
                <w:sz w:val="24"/>
                <w:szCs w:val="24"/>
              </w:rPr>
            </w:pPr>
            <w:r>
              <w:rPr>
                <w:sz w:val="24"/>
                <w:szCs w:val="24"/>
              </w:rPr>
              <w:t>Kontinu</w:t>
            </w:r>
            <w:r w:rsidR="00C91A00">
              <w:rPr>
                <w:sz w:val="24"/>
                <w:szCs w:val="24"/>
              </w:rPr>
              <w:t>-</w:t>
            </w:r>
            <w:r>
              <w:rPr>
                <w:sz w:val="24"/>
                <w:szCs w:val="24"/>
              </w:rPr>
              <w:t>irano u zavisno</w:t>
            </w:r>
            <w:r w:rsidR="00C91A00">
              <w:rPr>
                <w:sz w:val="24"/>
                <w:szCs w:val="24"/>
              </w:rPr>
              <w:t xml:space="preserve"> -</w:t>
            </w:r>
            <w:r>
              <w:rPr>
                <w:sz w:val="24"/>
                <w:szCs w:val="24"/>
              </w:rPr>
              <w:t>sti od usklađenosti događaja sa internim aktivno</w:t>
            </w:r>
            <w:r w:rsidR="00C91A00">
              <w:rPr>
                <w:sz w:val="24"/>
                <w:szCs w:val="24"/>
              </w:rPr>
              <w:t>-</w:t>
            </w:r>
            <w:r>
              <w:rPr>
                <w:sz w:val="24"/>
                <w:szCs w:val="24"/>
              </w:rPr>
              <w:t>stima</w:t>
            </w:r>
          </w:p>
        </w:tc>
        <w:tc>
          <w:tcPr>
            <w:tcW w:w="1313" w:type="dxa"/>
            <w:tcMar>
              <w:left w:w="28" w:type="dxa"/>
              <w:right w:w="28" w:type="dxa"/>
            </w:tcMar>
            <w:vAlign w:val="center"/>
          </w:tcPr>
          <w:p w:rsidR="00BA0714" w:rsidRDefault="000E54A2" w:rsidP="0026761C">
            <w:pPr>
              <w:jc w:val="both"/>
              <w:rPr>
                <w:szCs w:val="24"/>
              </w:rPr>
            </w:pPr>
            <w:r w:rsidRPr="0037534F">
              <w:rPr>
                <w:szCs w:val="24"/>
              </w:rPr>
              <w:t>Nadležni Sekretarijat</w:t>
            </w:r>
            <w:r w:rsidR="00BA0714">
              <w:rPr>
                <w:szCs w:val="24"/>
              </w:rPr>
              <w:t>.</w:t>
            </w:r>
          </w:p>
          <w:p w:rsidR="00BA0714" w:rsidRDefault="00BA0714" w:rsidP="0026761C">
            <w:pPr>
              <w:jc w:val="both"/>
              <w:rPr>
                <w:szCs w:val="24"/>
              </w:rPr>
            </w:pPr>
          </w:p>
          <w:p w:rsidR="00BA0714" w:rsidRDefault="00BA0714" w:rsidP="0026761C">
            <w:pPr>
              <w:jc w:val="both"/>
              <w:rPr>
                <w:szCs w:val="24"/>
              </w:rPr>
            </w:pPr>
            <w:r>
              <w:rPr>
                <w:szCs w:val="24"/>
              </w:rPr>
              <w:t xml:space="preserve"> Saradnja sa EE timom</w:t>
            </w:r>
          </w:p>
          <w:p w:rsidR="005C01B7" w:rsidRPr="0037534F" w:rsidRDefault="00BA0714" w:rsidP="0026761C">
            <w:pPr>
              <w:jc w:val="both"/>
              <w:rPr>
                <w:szCs w:val="24"/>
              </w:rPr>
            </w:pPr>
            <w:r>
              <w:rPr>
                <w:szCs w:val="24"/>
              </w:rPr>
              <w:t xml:space="preserve"> ( projekat IRENE)</w:t>
            </w:r>
          </w:p>
        </w:tc>
        <w:tc>
          <w:tcPr>
            <w:tcW w:w="1344" w:type="dxa"/>
            <w:tcMar>
              <w:left w:w="28" w:type="dxa"/>
              <w:right w:w="28" w:type="dxa"/>
            </w:tcMar>
            <w:vAlign w:val="center"/>
          </w:tcPr>
          <w:p w:rsidR="005C01B7" w:rsidRDefault="003C41D6" w:rsidP="0026761C">
            <w:pPr>
              <w:jc w:val="both"/>
              <w:rPr>
                <w:sz w:val="24"/>
                <w:szCs w:val="24"/>
              </w:rPr>
            </w:pPr>
            <w:r>
              <w:rPr>
                <w:sz w:val="24"/>
                <w:szCs w:val="24"/>
              </w:rPr>
              <w:t>saradnja sa partnerskim organizacijama</w:t>
            </w:r>
          </w:p>
        </w:tc>
      </w:tr>
      <w:tr w:rsidR="009B3958" w:rsidTr="0037534F">
        <w:trPr>
          <w:trHeight w:val="64"/>
        </w:trPr>
        <w:tc>
          <w:tcPr>
            <w:tcW w:w="675" w:type="dxa"/>
            <w:tcMar>
              <w:left w:w="28" w:type="dxa"/>
              <w:right w:w="28" w:type="dxa"/>
            </w:tcMar>
            <w:vAlign w:val="center"/>
          </w:tcPr>
          <w:p w:rsidR="009B3958" w:rsidRPr="00454A3B" w:rsidRDefault="009B3958" w:rsidP="0037534F">
            <w:pPr>
              <w:jc w:val="both"/>
              <w:rPr>
                <w:sz w:val="18"/>
                <w:szCs w:val="24"/>
              </w:rPr>
            </w:pPr>
            <w:r>
              <w:rPr>
                <w:sz w:val="18"/>
                <w:szCs w:val="24"/>
              </w:rPr>
              <w:lastRenderedPageBreak/>
              <w:t>EE1.2</w:t>
            </w:r>
          </w:p>
        </w:tc>
        <w:tc>
          <w:tcPr>
            <w:tcW w:w="1429" w:type="dxa"/>
            <w:tcMar>
              <w:left w:w="28" w:type="dxa"/>
              <w:right w:w="28" w:type="dxa"/>
            </w:tcMar>
            <w:vAlign w:val="center"/>
          </w:tcPr>
          <w:p w:rsidR="009B3958" w:rsidRDefault="009B3958" w:rsidP="0037534F">
            <w:pPr>
              <w:jc w:val="both"/>
              <w:rPr>
                <w:sz w:val="24"/>
                <w:szCs w:val="24"/>
              </w:rPr>
            </w:pPr>
            <w:r>
              <w:rPr>
                <w:sz w:val="24"/>
                <w:szCs w:val="24"/>
              </w:rPr>
              <w:t>Nabavka opreme za energetsku efikasnost</w:t>
            </w:r>
          </w:p>
        </w:tc>
        <w:tc>
          <w:tcPr>
            <w:tcW w:w="2257" w:type="dxa"/>
            <w:tcMar>
              <w:left w:w="28" w:type="dxa"/>
              <w:right w:w="28" w:type="dxa"/>
            </w:tcMar>
            <w:vAlign w:val="center"/>
          </w:tcPr>
          <w:p w:rsidR="009B3958" w:rsidRDefault="009B3958" w:rsidP="0037534F">
            <w:pPr>
              <w:jc w:val="both"/>
              <w:rPr>
                <w:sz w:val="24"/>
                <w:szCs w:val="24"/>
              </w:rPr>
            </w:pPr>
            <w:r>
              <w:rPr>
                <w:sz w:val="24"/>
                <w:szCs w:val="24"/>
              </w:rPr>
              <w:t>Projektom IRENE je obezbjeđena nabavka opreme potrebne za utvrđivanje stepena energetske efikasnosti. Previđena je nabavka sledeće opreme:</w:t>
            </w:r>
          </w:p>
          <w:p w:rsidR="009B3958" w:rsidRPr="0037534F" w:rsidRDefault="009B3958" w:rsidP="0037534F">
            <w:pPr>
              <w:jc w:val="both"/>
              <w:rPr>
                <w:sz w:val="18"/>
                <w:szCs w:val="18"/>
              </w:rPr>
            </w:pPr>
            <w:r w:rsidRPr="0037534F">
              <w:rPr>
                <w:sz w:val="18"/>
                <w:szCs w:val="18"/>
              </w:rPr>
              <w:t xml:space="preserve"> </w:t>
            </w:r>
            <w:r w:rsidR="00706CF9">
              <w:rPr>
                <w:sz w:val="18"/>
                <w:szCs w:val="18"/>
              </w:rPr>
              <w:t xml:space="preserve">Tester baterija (instrument za mjerenje napunjenosti baterija) </w:t>
            </w:r>
            <w:r w:rsidRPr="0037534F">
              <w:rPr>
                <w:sz w:val="18"/>
                <w:szCs w:val="18"/>
              </w:rPr>
              <w:t>kom.1</w:t>
            </w:r>
          </w:p>
          <w:p w:rsidR="009B3958" w:rsidRPr="0037534F" w:rsidRDefault="00A32008" w:rsidP="0037534F">
            <w:pPr>
              <w:jc w:val="both"/>
              <w:rPr>
                <w:sz w:val="18"/>
                <w:szCs w:val="18"/>
              </w:rPr>
            </w:pPr>
            <w:r>
              <w:rPr>
                <w:sz w:val="18"/>
                <w:szCs w:val="18"/>
              </w:rPr>
              <w:t>Digitalni multimetar</w:t>
            </w:r>
            <w:r w:rsidR="009B3958" w:rsidRPr="0037534F">
              <w:rPr>
                <w:sz w:val="18"/>
                <w:szCs w:val="18"/>
              </w:rPr>
              <w:t xml:space="preserve"> kom.1</w:t>
            </w:r>
          </w:p>
          <w:p w:rsidR="009B3958" w:rsidRPr="0037534F" w:rsidRDefault="00A32008" w:rsidP="0037534F">
            <w:pPr>
              <w:jc w:val="both"/>
              <w:rPr>
                <w:sz w:val="18"/>
                <w:szCs w:val="18"/>
              </w:rPr>
            </w:pPr>
            <w:r>
              <w:rPr>
                <w:sz w:val="18"/>
                <w:szCs w:val="18"/>
              </w:rPr>
              <w:t>Tester električnih instalacija</w:t>
            </w:r>
            <w:r w:rsidR="009B3958" w:rsidRPr="0037534F">
              <w:rPr>
                <w:sz w:val="18"/>
                <w:szCs w:val="18"/>
              </w:rPr>
              <w:t xml:space="preserve"> kom.1</w:t>
            </w:r>
          </w:p>
          <w:p w:rsidR="009B3958" w:rsidRPr="0037534F" w:rsidRDefault="00A32008" w:rsidP="0037534F">
            <w:pPr>
              <w:jc w:val="both"/>
              <w:rPr>
                <w:sz w:val="18"/>
                <w:szCs w:val="18"/>
              </w:rPr>
            </w:pPr>
            <w:r>
              <w:rPr>
                <w:sz w:val="18"/>
                <w:szCs w:val="18"/>
              </w:rPr>
              <w:t>Luksmetar (instrument za mjerenje osvjetljenja)</w:t>
            </w:r>
            <w:r w:rsidR="009B3958" w:rsidRPr="0037534F">
              <w:rPr>
                <w:sz w:val="18"/>
                <w:szCs w:val="18"/>
              </w:rPr>
              <w:t xml:space="preserve"> kom.1</w:t>
            </w:r>
          </w:p>
          <w:p w:rsidR="009B3958" w:rsidRPr="0037534F" w:rsidRDefault="009B3958" w:rsidP="0037534F">
            <w:pPr>
              <w:jc w:val="both"/>
              <w:rPr>
                <w:sz w:val="18"/>
                <w:szCs w:val="18"/>
              </w:rPr>
            </w:pPr>
            <w:r w:rsidRPr="0037534F">
              <w:rPr>
                <w:sz w:val="18"/>
                <w:szCs w:val="18"/>
              </w:rPr>
              <w:t>Telemet</w:t>
            </w:r>
            <w:r w:rsidR="00A32008">
              <w:rPr>
                <w:sz w:val="18"/>
                <w:szCs w:val="18"/>
              </w:rPr>
              <w:t>a</w:t>
            </w:r>
            <w:r w:rsidRPr="0037534F">
              <w:rPr>
                <w:sz w:val="18"/>
                <w:szCs w:val="18"/>
              </w:rPr>
              <w:t>r</w:t>
            </w:r>
            <w:r w:rsidR="00A32008">
              <w:rPr>
                <w:sz w:val="18"/>
                <w:szCs w:val="18"/>
              </w:rPr>
              <w:t xml:space="preserve"> (instrument za mjerenje daljine)</w:t>
            </w:r>
            <w:r w:rsidRPr="0037534F">
              <w:rPr>
                <w:sz w:val="18"/>
                <w:szCs w:val="18"/>
              </w:rPr>
              <w:t xml:space="preserve"> kom.1</w:t>
            </w:r>
          </w:p>
          <w:p w:rsidR="009B3958" w:rsidRPr="0037534F" w:rsidRDefault="00A32008" w:rsidP="0037534F">
            <w:pPr>
              <w:jc w:val="both"/>
              <w:rPr>
                <w:sz w:val="18"/>
                <w:szCs w:val="18"/>
              </w:rPr>
            </w:pPr>
            <w:r>
              <w:rPr>
                <w:sz w:val="18"/>
                <w:szCs w:val="18"/>
              </w:rPr>
              <w:t>Termovizijska kamera</w:t>
            </w:r>
            <w:r w:rsidR="009B3958" w:rsidRPr="0037534F">
              <w:rPr>
                <w:sz w:val="18"/>
                <w:szCs w:val="18"/>
              </w:rPr>
              <w:t xml:space="preserve"> kom.1</w:t>
            </w:r>
          </w:p>
          <w:p w:rsidR="009B3958" w:rsidRDefault="00706CF9" w:rsidP="0037534F">
            <w:pPr>
              <w:jc w:val="both"/>
              <w:rPr>
                <w:sz w:val="24"/>
                <w:szCs w:val="24"/>
              </w:rPr>
            </w:pPr>
            <w:r>
              <w:rPr>
                <w:sz w:val="18"/>
                <w:szCs w:val="18"/>
              </w:rPr>
              <w:t>Instrument za mjerenje temperature i vlažnosti vazduha (Termo – higrometar)</w:t>
            </w:r>
            <w:r w:rsidR="009B3958" w:rsidRPr="0037534F">
              <w:rPr>
                <w:sz w:val="18"/>
                <w:szCs w:val="18"/>
              </w:rPr>
              <w:t xml:space="preserve"> kom.1</w:t>
            </w:r>
          </w:p>
        </w:tc>
        <w:tc>
          <w:tcPr>
            <w:tcW w:w="1276" w:type="dxa"/>
            <w:tcMar>
              <w:left w:w="28" w:type="dxa"/>
              <w:right w:w="28" w:type="dxa"/>
            </w:tcMar>
            <w:vAlign w:val="center"/>
          </w:tcPr>
          <w:p w:rsidR="009B3958" w:rsidRDefault="009B3958" w:rsidP="009C425C">
            <w:pPr>
              <w:jc w:val="both"/>
              <w:rPr>
                <w:sz w:val="24"/>
                <w:szCs w:val="24"/>
              </w:rPr>
            </w:pPr>
            <w:r>
              <w:rPr>
                <w:sz w:val="24"/>
                <w:szCs w:val="24"/>
              </w:rPr>
              <w:t>Razvoj energetskog menadžmenta</w:t>
            </w:r>
          </w:p>
        </w:tc>
        <w:tc>
          <w:tcPr>
            <w:tcW w:w="992" w:type="dxa"/>
            <w:tcMar>
              <w:left w:w="28" w:type="dxa"/>
              <w:right w:w="28" w:type="dxa"/>
            </w:tcMar>
            <w:vAlign w:val="center"/>
          </w:tcPr>
          <w:p w:rsidR="009B3958" w:rsidRDefault="009B3958" w:rsidP="0037534F">
            <w:pPr>
              <w:jc w:val="both"/>
              <w:rPr>
                <w:sz w:val="24"/>
                <w:szCs w:val="24"/>
              </w:rPr>
            </w:pPr>
            <w:r>
              <w:rPr>
                <w:sz w:val="24"/>
                <w:szCs w:val="24"/>
              </w:rPr>
              <w:t>II kvartal</w:t>
            </w:r>
          </w:p>
        </w:tc>
        <w:tc>
          <w:tcPr>
            <w:tcW w:w="1313" w:type="dxa"/>
            <w:tcMar>
              <w:left w:w="28" w:type="dxa"/>
              <w:right w:w="28" w:type="dxa"/>
            </w:tcMar>
            <w:vAlign w:val="center"/>
          </w:tcPr>
          <w:p w:rsidR="009B3958" w:rsidRPr="0037534F" w:rsidRDefault="009B3958" w:rsidP="00706CF9">
            <w:pPr>
              <w:jc w:val="both"/>
              <w:rPr>
                <w:szCs w:val="24"/>
              </w:rPr>
            </w:pPr>
            <w:r w:rsidRPr="0037534F">
              <w:rPr>
                <w:szCs w:val="24"/>
              </w:rPr>
              <w:t>Sekretarijat za ekonomski razvoj i preduzetništvo</w:t>
            </w:r>
            <w:r w:rsidR="00F1090B">
              <w:rPr>
                <w:szCs w:val="24"/>
              </w:rPr>
              <w:t xml:space="preserve"> u saradnji sa </w:t>
            </w:r>
            <w:r w:rsidR="00706CF9">
              <w:rPr>
                <w:szCs w:val="24"/>
              </w:rPr>
              <w:t>EE timom</w:t>
            </w:r>
          </w:p>
        </w:tc>
        <w:tc>
          <w:tcPr>
            <w:tcW w:w="1344" w:type="dxa"/>
            <w:tcMar>
              <w:left w:w="28" w:type="dxa"/>
              <w:right w:w="28" w:type="dxa"/>
            </w:tcMar>
            <w:vAlign w:val="center"/>
          </w:tcPr>
          <w:p w:rsidR="009B3958" w:rsidRDefault="009B3958" w:rsidP="0037534F">
            <w:pPr>
              <w:jc w:val="both"/>
              <w:rPr>
                <w:sz w:val="24"/>
                <w:szCs w:val="24"/>
              </w:rPr>
            </w:pPr>
            <w:r>
              <w:rPr>
                <w:sz w:val="24"/>
                <w:szCs w:val="24"/>
              </w:rPr>
              <w:t>EU fondovi</w:t>
            </w:r>
          </w:p>
          <w:p w:rsidR="009B3958" w:rsidRDefault="009B3958" w:rsidP="0037534F">
            <w:pPr>
              <w:jc w:val="both"/>
              <w:rPr>
                <w:sz w:val="24"/>
                <w:szCs w:val="24"/>
              </w:rPr>
            </w:pPr>
            <w:r>
              <w:rPr>
                <w:sz w:val="24"/>
                <w:szCs w:val="24"/>
              </w:rPr>
              <w:t>(Projekat IRENE)</w:t>
            </w:r>
          </w:p>
        </w:tc>
      </w:tr>
      <w:tr w:rsidR="00DA6260" w:rsidRPr="000E54A2" w:rsidTr="0037534F">
        <w:trPr>
          <w:trHeight w:val="519"/>
        </w:trPr>
        <w:tc>
          <w:tcPr>
            <w:tcW w:w="675" w:type="dxa"/>
            <w:shd w:val="clear" w:color="auto" w:fill="D9D9D9" w:themeFill="background1" w:themeFillShade="D9"/>
            <w:vAlign w:val="center"/>
          </w:tcPr>
          <w:p w:rsidR="00DA6260" w:rsidRPr="00454A3B" w:rsidRDefault="00DA6260" w:rsidP="005C01B7">
            <w:pPr>
              <w:rPr>
                <w:b/>
                <w:sz w:val="18"/>
                <w:szCs w:val="24"/>
              </w:rPr>
            </w:pPr>
            <w:r w:rsidRPr="00454A3B">
              <w:rPr>
                <w:b/>
                <w:sz w:val="18"/>
                <w:szCs w:val="24"/>
              </w:rPr>
              <w:t>EE2</w:t>
            </w:r>
          </w:p>
        </w:tc>
        <w:tc>
          <w:tcPr>
            <w:tcW w:w="3686" w:type="dxa"/>
            <w:gridSpan w:val="2"/>
            <w:shd w:val="clear" w:color="auto" w:fill="D9D9D9" w:themeFill="background1" w:themeFillShade="D9"/>
            <w:vAlign w:val="center"/>
          </w:tcPr>
          <w:p w:rsidR="00DA6260" w:rsidRPr="000E54A2" w:rsidRDefault="00DA6260" w:rsidP="005C01B7">
            <w:pPr>
              <w:rPr>
                <w:b/>
                <w:sz w:val="24"/>
                <w:szCs w:val="24"/>
              </w:rPr>
            </w:pPr>
            <w:r w:rsidRPr="000E54A2">
              <w:rPr>
                <w:b/>
                <w:sz w:val="24"/>
                <w:szCs w:val="24"/>
              </w:rPr>
              <w:t>MJERE ZA POBOLJŠANJE ENERGETSKE EFIKASNOSTI U ZGRADAMA</w:t>
            </w:r>
          </w:p>
        </w:tc>
        <w:tc>
          <w:tcPr>
            <w:tcW w:w="1276" w:type="dxa"/>
            <w:shd w:val="clear" w:color="auto" w:fill="D9D9D9" w:themeFill="background1" w:themeFillShade="D9"/>
            <w:vAlign w:val="center"/>
          </w:tcPr>
          <w:p w:rsidR="00DA6260" w:rsidRPr="000E54A2" w:rsidRDefault="00DA6260" w:rsidP="005C01B7">
            <w:pPr>
              <w:rPr>
                <w:b/>
                <w:sz w:val="24"/>
                <w:szCs w:val="24"/>
              </w:rPr>
            </w:pPr>
          </w:p>
        </w:tc>
        <w:tc>
          <w:tcPr>
            <w:tcW w:w="992" w:type="dxa"/>
            <w:shd w:val="clear" w:color="auto" w:fill="D9D9D9" w:themeFill="background1" w:themeFillShade="D9"/>
            <w:vAlign w:val="center"/>
          </w:tcPr>
          <w:p w:rsidR="00DA6260" w:rsidRPr="000E54A2" w:rsidRDefault="00DA6260" w:rsidP="005C01B7">
            <w:pPr>
              <w:rPr>
                <w:b/>
                <w:sz w:val="24"/>
                <w:szCs w:val="24"/>
              </w:rPr>
            </w:pPr>
          </w:p>
        </w:tc>
        <w:tc>
          <w:tcPr>
            <w:tcW w:w="1313" w:type="dxa"/>
            <w:shd w:val="clear" w:color="auto" w:fill="D9D9D9" w:themeFill="background1" w:themeFillShade="D9"/>
            <w:vAlign w:val="center"/>
          </w:tcPr>
          <w:p w:rsidR="00DA6260" w:rsidRPr="000E54A2" w:rsidRDefault="00DA6260" w:rsidP="005C01B7">
            <w:pPr>
              <w:rPr>
                <w:b/>
                <w:sz w:val="24"/>
                <w:szCs w:val="24"/>
              </w:rPr>
            </w:pPr>
          </w:p>
        </w:tc>
        <w:tc>
          <w:tcPr>
            <w:tcW w:w="1344" w:type="dxa"/>
            <w:shd w:val="clear" w:color="auto" w:fill="D9D9D9" w:themeFill="background1" w:themeFillShade="D9"/>
            <w:vAlign w:val="center"/>
          </w:tcPr>
          <w:p w:rsidR="00DA6260" w:rsidRPr="000E54A2" w:rsidRDefault="00DA6260" w:rsidP="005C01B7">
            <w:pPr>
              <w:rPr>
                <w:b/>
                <w:sz w:val="24"/>
                <w:szCs w:val="24"/>
              </w:rPr>
            </w:pPr>
          </w:p>
        </w:tc>
      </w:tr>
      <w:tr w:rsidR="00DA6260" w:rsidTr="009A0495">
        <w:trPr>
          <w:trHeight w:val="2222"/>
        </w:trPr>
        <w:tc>
          <w:tcPr>
            <w:tcW w:w="675" w:type="dxa"/>
            <w:tcMar>
              <w:left w:w="57" w:type="dxa"/>
              <w:right w:w="57" w:type="dxa"/>
            </w:tcMar>
            <w:vAlign w:val="center"/>
          </w:tcPr>
          <w:p w:rsidR="00DA6260" w:rsidRPr="00454A3B" w:rsidRDefault="00DA6260" w:rsidP="0037534F">
            <w:pPr>
              <w:jc w:val="both"/>
              <w:rPr>
                <w:sz w:val="18"/>
                <w:szCs w:val="24"/>
              </w:rPr>
            </w:pPr>
            <w:r w:rsidRPr="00454A3B">
              <w:rPr>
                <w:sz w:val="18"/>
                <w:szCs w:val="24"/>
              </w:rPr>
              <w:t>EE2.</w:t>
            </w:r>
            <w:r>
              <w:rPr>
                <w:sz w:val="18"/>
                <w:szCs w:val="24"/>
              </w:rPr>
              <w:t>1</w:t>
            </w:r>
          </w:p>
        </w:tc>
        <w:tc>
          <w:tcPr>
            <w:tcW w:w="1429" w:type="dxa"/>
            <w:tcMar>
              <w:left w:w="57" w:type="dxa"/>
              <w:right w:w="57" w:type="dxa"/>
            </w:tcMar>
            <w:vAlign w:val="center"/>
          </w:tcPr>
          <w:p w:rsidR="00DA6260" w:rsidRDefault="00DA6260" w:rsidP="0037534F">
            <w:pPr>
              <w:jc w:val="both"/>
              <w:rPr>
                <w:sz w:val="24"/>
                <w:szCs w:val="24"/>
              </w:rPr>
            </w:pPr>
            <w:r>
              <w:rPr>
                <w:sz w:val="24"/>
                <w:szCs w:val="24"/>
              </w:rPr>
              <w:t>Zamjena sijalica</w:t>
            </w:r>
          </w:p>
        </w:tc>
        <w:tc>
          <w:tcPr>
            <w:tcW w:w="2257" w:type="dxa"/>
            <w:tcMar>
              <w:left w:w="57" w:type="dxa"/>
              <w:right w:w="57" w:type="dxa"/>
            </w:tcMar>
            <w:vAlign w:val="center"/>
          </w:tcPr>
          <w:p w:rsidR="00DA6260" w:rsidRDefault="00DA6260" w:rsidP="0037534F">
            <w:pPr>
              <w:jc w:val="both"/>
              <w:rPr>
                <w:sz w:val="24"/>
                <w:szCs w:val="24"/>
              </w:rPr>
            </w:pPr>
            <w:r>
              <w:rPr>
                <w:sz w:val="24"/>
                <w:szCs w:val="24"/>
              </w:rPr>
              <w:t>Zamjena neefikasnih, oštećenih ili dotrajalih sijalica i svjetiljki ugradnjom energetski efikasnijih u zgradama čiji je osnivač Opština</w:t>
            </w:r>
          </w:p>
        </w:tc>
        <w:tc>
          <w:tcPr>
            <w:tcW w:w="1276" w:type="dxa"/>
            <w:tcMar>
              <w:left w:w="57" w:type="dxa"/>
              <w:right w:w="57" w:type="dxa"/>
            </w:tcMar>
            <w:vAlign w:val="center"/>
          </w:tcPr>
          <w:p w:rsidR="00DA6260" w:rsidRDefault="00DA6260" w:rsidP="0037534F">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37534F">
            <w:pPr>
              <w:jc w:val="both"/>
              <w:rPr>
                <w:sz w:val="24"/>
                <w:szCs w:val="24"/>
              </w:rPr>
            </w:pPr>
            <w:r>
              <w:rPr>
                <w:sz w:val="24"/>
                <w:szCs w:val="24"/>
              </w:rPr>
              <w:t>Tokom cijele godine</w:t>
            </w:r>
          </w:p>
        </w:tc>
        <w:tc>
          <w:tcPr>
            <w:tcW w:w="1313" w:type="dxa"/>
            <w:tcMar>
              <w:left w:w="57" w:type="dxa"/>
              <w:right w:w="57" w:type="dxa"/>
            </w:tcMar>
            <w:vAlign w:val="center"/>
          </w:tcPr>
          <w:p w:rsidR="00DA6260" w:rsidRDefault="00DA6260" w:rsidP="0037534F">
            <w:pPr>
              <w:jc w:val="both"/>
              <w:rPr>
                <w:sz w:val="24"/>
                <w:szCs w:val="24"/>
              </w:rPr>
            </w:pPr>
            <w:r>
              <w:rPr>
                <w:sz w:val="24"/>
                <w:szCs w:val="24"/>
              </w:rPr>
              <w:t>Opština i nadležna preduzeća</w:t>
            </w:r>
          </w:p>
        </w:tc>
        <w:tc>
          <w:tcPr>
            <w:tcW w:w="1344" w:type="dxa"/>
            <w:tcMar>
              <w:left w:w="57" w:type="dxa"/>
              <w:right w:w="57" w:type="dxa"/>
            </w:tcMar>
            <w:vAlign w:val="center"/>
          </w:tcPr>
          <w:p w:rsidR="00DA6260" w:rsidRDefault="00DA6260" w:rsidP="0037534F">
            <w:pPr>
              <w:jc w:val="both"/>
              <w:rPr>
                <w:sz w:val="24"/>
                <w:szCs w:val="24"/>
              </w:rPr>
            </w:pPr>
            <w:r>
              <w:rPr>
                <w:sz w:val="24"/>
                <w:szCs w:val="24"/>
              </w:rPr>
              <w:t>Budžet opštine</w:t>
            </w:r>
            <w:r w:rsidR="00491872">
              <w:rPr>
                <w:sz w:val="24"/>
                <w:szCs w:val="24"/>
              </w:rPr>
              <w:t xml:space="preserve"> i javnih preduzeća</w:t>
            </w:r>
          </w:p>
        </w:tc>
      </w:tr>
      <w:tr w:rsidR="00491872" w:rsidTr="0037534F">
        <w:trPr>
          <w:trHeight w:val="1257"/>
        </w:trPr>
        <w:tc>
          <w:tcPr>
            <w:tcW w:w="675" w:type="dxa"/>
            <w:tcMar>
              <w:left w:w="57" w:type="dxa"/>
              <w:right w:w="57" w:type="dxa"/>
            </w:tcMar>
            <w:vAlign w:val="center"/>
          </w:tcPr>
          <w:p w:rsidR="00491872" w:rsidRPr="00454A3B" w:rsidRDefault="00491872" w:rsidP="0037534F">
            <w:pPr>
              <w:jc w:val="both"/>
              <w:rPr>
                <w:sz w:val="18"/>
                <w:szCs w:val="24"/>
              </w:rPr>
            </w:pPr>
            <w:r w:rsidRPr="00454A3B">
              <w:rPr>
                <w:sz w:val="18"/>
                <w:szCs w:val="24"/>
              </w:rPr>
              <w:t>EE2.</w:t>
            </w:r>
            <w:r>
              <w:rPr>
                <w:sz w:val="18"/>
                <w:szCs w:val="24"/>
              </w:rPr>
              <w:t>2</w:t>
            </w:r>
          </w:p>
        </w:tc>
        <w:tc>
          <w:tcPr>
            <w:tcW w:w="1429" w:type="dxa"/>
            <w:tcMar>
              <w:left w:w="57" w:type="dxa"/>
              <w:right w:w="57" w:type="dxa"/>
            </w:tcMar>
            <w:vAlign w:val="center"/>
          </w:tcPr>
          <w:p w:rsidR="00491872" w:rsidRDefault="00491872" w:rsidP="0037534F">
            <w:pPr>
              <w:jc w:val="both"/>
              <w:rPr>
                <w:sz w:val="24"/>
                <w:szCs w:val="24"/>
              </w:rPr>
            </w:pPr>
            <w:r>
              <w:rPr>
                <w:sz w:val="24"/>
                <w:szCs w:val="24"/>
              </w:rPr>
              <w:t>Realizacija projekta za postavljanje solarnih kolektora na objektu Sportske dvorane „Župa“</w:t>
            </w:r>
          </w:p>
        </w:tc>
        <w:tc>
          <w:tcPr>
            <w:tcW w:w="2257" w:type="dxa"/>
            <w:tcMar>
              <w:left w:w="57" w:type="dxa"/>
              <w:right w:w="57" w:type="dxa"/>
            </w:tcMar>
            <w:vAlign w:val="center"/>
          </w:tcPr>
          <w:p w:rsidR="00491872" w:rsidRDefault="00491872" w:rsidP="0037534F">
            <w:pPr>
              <w:jc w:val="both"/>
              <w:rPr>
                <w:sz w:val="24"/>
                <w:szCs w:val="24"/>
              </w:rPr>
            </w:pPr>
            <w:r>
              <w:rPr>
                <w:sz w:val="24"/>
                <w:szCs w:val="24"/>
              </w:rPr>
              <w:t>Postavljanje solarnih kolektora za grijanje sanitarne vode za potrebe Sportske dvorane „Župa“</w:t>
            </w:r>
          </w:p>
        </w:tc>
        <w:tc>
          <w:tcPr>
            <w:tcW w:w="1276" w:type="dxa"/>
            <w:tcMar>
              <w:left w:w="57" w:type="dxa"/>
              <w:right w:w="57" w:type="dxa"/>
            </w:tcMar>
            <w:vAlign w:val="center"/>
          </w:tcPr>
          <w:p w:rsidR="00491872" w:rsidRDefault="00491872" w:rsidP="0037534F">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491872" w:rsidRDefault="00491872" w:rsidP="0037534F">
            <w:pPr>
              <w:jc w:val="both"/>
              <w:rPr>
                <w:sz w:val="24"/>
                <w:szCs w:val="24"/>
              </w:rPr>
            </w:pPr>
            <w:r>
              <w:rPr>
                <w:sz w:val="24"/>
                <w:szCs w:val="24"/>
              </w:rPr>
              <w:t>III i IV kvartal</w:t>
            </w:r>
          </w:p>
        </w:tc>
        <w:tc>
          <w:tcPr>
            <w:tcW w:w="1313" w:type="dxa"/>
            <w:tcMar>
              <w:left w:w="57" w:type="dxa"/>
              <w:right w:w="57" w:type="dxa"/>
            </w:tcMar>
            <w:vAlign w:val="center"/>
          </w:tcPr>
          <w:p w:rsidR="00491872" w:rsidRPr="0037534F" w:rsidRDefault="00491872" w:rsidP="00BA0714">
            <w:pPr>
              <w:jc w:val="both"/>
              <w:rPr>
                <w:szCs w:val="24"/>
              </w:rPr>
            </w:pPr>
            <w:r w:rsidRPr="0037534F">
              <w:rPr>
                <w:szCs w:val="24"/>
              </w:rPr>
              <w:t>Sekretarijat za ekonomski razvoj i preduzetništvo</w:t>
            </w:r>
            <w:r>
              <w:rPr>
                <w:szCs w:val="24"/>
              </w:rPr>
              <w:t xml:space="preserve"> u saradnji sa EE timom</w:t>
            </w:r>
          </w:p>
        </w:tc>
        <w:tc>
          <w:tcPr>
            <w:tcW w:w="1344" w:type="dxa"/>
            <w:tcMar>
              <w:left w:w="57" w:type="dxa"/>
              <w:right w:w="57" w:type="dxa"/>
            </w:tcMar>
            <w:vAlign w:val="center"/>
          </w:tcPr>
          <w:p w:rsidR="00491872" w:rsidRDefault="00491872" w:rsidP="0037534F">
            <w:pPr>
              <w:jc w:val="both"/>
              <w:rPr>
                <w:sz w:val="24"/>
                <w:szCs w:val="24"/>
              </w:rPr>
            </w:pPr>
            <w:r>
              <w:rPr>
                <w:sz w:val="24"/>
                <w:szCs w:val="24"/>
              </w:rPr>
              <w:t>EU fondovi</w:t>
            </w:r>
          </w:p>
          <w:p w:rsidR="00491872" w:rsidRDefault="00491872" w:rsidP="0037534F">
            <w:pPr>
              <w:jc w:val="both"/>
              <w:rPr>
                <w:sz w:val="24"/>
                <w:szCs w:val="24"/>
              </w:rPr>
            </w:pPr>
            <w:r>
              <w:rPr>
                <w:sz w:val="24"/>
                <w:szCs w:val="24"/>
              </w:rPr>
              <w:t>(Projekat IRENE)</w:t>
            </w:r>
          </w:p>
        </w:tc>
      </w:tr>
      <w:tr w:rsidR="00DA6260" w:rsidTr="0037534F">
        <w:trPr>
          <w:trHeight w:val="219"/>
        </w:trPr>
        <w:tc>
          <w:tcPr>
            <w:tcW w:w="675" w:type="dxa"/>
            <w:tcMar>
              <w:left w:w="57" w:type="dxa"/>
              <w:right w:w="57" w:type="dxa"/>
            </w:tcMar>
            <w:vAlign w:val="center"/>
          </w:tcPr>
          <w:p w:rsidR="00DA6260" w:rsidRPr="00454A3B" w:rsidRDefault="00DA6260" w:rsidP="0037534F">
            <w:pPr>
              <w:jc w:val="both"/>
              <w:rPr>
                <w:sz w:val="18"/>
                <w:szCs w:val="24"/>
              </w:rPr>
            </w:pPr>
            <w:r w:rsidRPr="00454A3B">
              <w:rPr>
                <w:sz w:val="18"/>
                <w:szCs w:val="24"/>
              </w:rPr>
              <w:lastRenderedPageBreak/>
              <w:t>EE2.</w:t>
            </w:r>
            <w:r>
              <w:rPr>
                <w:sz w:val="18"/>
                <w:szCs w:val="24"/>
              </w:rPr>
              <w:t>3</w:t>
            </w:r>
          </w:p>
        </w:tc>
        <w:tc>
          <w:tcPr>
            <w:tcW w:w="1429" w:type="dxa"/>
            <w:tcMar>
              <w:left w:w="57" w:type="dxa"/>
              <w:right w:w="57" w:type="dxa"/>
            </w:tcMar>
            <w:vAlign w:val="center"/>
          </w:tcPr>
          <w:p w:rsidR="00DA6260" w:rsidRDefault="00DA6260" w:rsidP="0037534F">
            <w:pPr>
              <w:jc w:val="both"/>
              <w:rPr>
                <w:sz w:val="24"/>
                <w:szCs w:val="24"/>
              </w:rPr>
            </w:pPr>
            <w:r>
              <w:rPr>
                <w:sz w:val="24"/>
                <w:szCs w:val="24"/>
              </w:rPr>
              <w:t>Zamjena bravarije na objektu Sportske dvorane „Župa“</w:t>
            </w:r>
          </w:p>
        </w:tc>
        <w:tc>
          <w:tcPr>
            <w:tcW w:w="2257" w:type="dxa"/>
            <w:tcMar>
              <w:left w:w="57" w:type="dxa"/>
              <w:right w:w="57" w:type="dxa"/>
            </w:tcMar>
            <w:vAlign w:val="center"/>
          </w:tcPr>
          <w:p w:rsidR="00DA6260" w:rsidRDefault="00DA6260" w:rsidP="0037534F">
            <w:pPr>
              <w:jc w:val="both"/>
              <w:rPr>
                <w:sz w:val="24"/>
                <w:szCs w:val="24"/>
              </w:rPr>
            </w:pPr>
            <w:r>
              <w:rPr>
                <w:sz w:val="24"/>
                <w:szCs w:val="24"/>
              </w:rPr>
              <w:t>Zamjenom bravarije, postići će se bolja toplotna izolacija, tj. smanjiće se toplotna propustnost vanjske bravarije</w:t>
            </w:r>
          </w:p>
        </w:tc>
        <w:tc>
          <w:tcPr>
            <w:tcW w:w="1276" w:type="dxa"/>
            <w:tcMar>
              <w:left w:w="57" w:type="dxa"/>
              <w:right w:w="57" w:type="dxa"/>
            </w:tcMar>
            <w:vAlign w:val="center"/>
          </w:tcPr>
          <w:p w:rsidR="00DA6260" w:rsidRDefault="00DA6260" w:rsidP="0037534F">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37534F">
            <w:pPr>
              <w:jc w:val="both"/>
              <w:rPr>
                <w:sz w:val="24"/>
                <w:szCs w:val="24"/>
              </w:rPr>
            </w:pPr>
            <w:r>
              <w:rPr>
                <w:sz w:val="24"/>
                <w:szCs w:val="24"/>
              </w:rPr>
              <w:t>I kvartal</w:t>
            </w:r>
          </w:p>
        </w:tc>
        <w:tc>
          <w:tcPr>
            <w:tcW w:w="1313" w:type="dxa"/>
            <w:tcMar>
              <w:left w:w="57" w:type="dxa"/>
              <w:right w:w="57" w:type="dxa"/>
            </w:tcMar>
            <w:vAlign w:val="center"/>
          </w:tcPr>
          <w:p w:rsidR="00DA6260" w:rsidRDefault="00DA6260" w:rsidP="0037534F">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37534F">
            <w:pPr>
              <w:jc w:val="both"/>
              <w:rPr>
                <w:sz w:val="24"/>
                <w:szCs w:val="24"/>
              </w:rPr>
            </w:pPr>
            <w:r>
              <w:rPr>
                <w:sz w:val="24"/>
                <w:szCs w:val="24"/>
              </w:rPr>
              <w:t>Budžet Opštine</w:t>
            </w:r>
          </w:p>
        </w:tc>
      </w:tr>
      <w:tr w:rsidR="00DA6260" w:rsidTr="0037534F">
        <w:trPr>
          <w:trHeight w:val="1257"/>
        </w:trPr>
        <w:tc>
          <w:tcPr>
            <w:tcW w:w="675" w:type="dxa"/>
            <w:tcMar>
              <w:left w:w="57" w:type="dxa"/>
              <w:right w:w="57" w:type="dxa"/>
            </w:tcMar>
            <w:vAlign w:val="center"/>
          </w:tcPr>
          <w:p w:rsidR="00DA6260" w:rsidRPr="00454A3B" w:rsidRDefault="00DA6260" w:rsidP="0037534F">
            <w:pPr>
              <w:jc w:val="both"/>
              <w:rPr>
                <w:sz w:val="18"/>
                <w:szCs w:val="24"/>
              </w:rPr>
            </w:pPr>
            <w:r>
              <w:rPr>
                <w:sz w:val="18"/>
                <w:szCs w:val="24"/>
              </w:rPr>
              <w:t>EE 2.4</w:t>
            </w:r>
          </w:p>
        </w:tc>
        <w:tc>
          <w:tcPr>
            <w:tcW w:w="1429" w:type="dxa"/>
            <w:tcMar>
              <w:left w:w="57" w:type="dxa"/>
              <w:right w:w="57" w:type="dxa"/>
            </w:tcMar>
            <w:vAlign w:val="center"/>
          </w:tcPr>
          <w:p w:rsidR="00DA6260" w:rsidRDefault="00DA6260" w:rsidP="0037534F">
            <w:pPr>
              <w:jc w:val="both"/>
              <w:rPr>
                <w:sz w:val="24"/>
                <w:szCs w:val="24"/>
              </w:rPr>
            </w:pPr>
            <w:r>
              <w:rPr>
                <w:sz w:val="24"/>
                <w:szCs w:val="24"/>
              </w:rPr>
              <w:t>Rekonstrukcija dijela krova na objektu Sportske dvorane „Župa“</w:t>
            </w:r>
          </w:p>
        </w:tc>
        <w:tc>
          <w:tcPr>
            <w:tcW w:w="2257" w:type="dxa"/>
            <w:tcMar>
              <w:left w:w="57" w:type="dxa"/>
              <w:right w:w="57" w:type="dxa"/>
            </w:tcMar>
            <w:vAlign w:val="center"/>
          </w:tcPr>
          <w:p w:rsidR="00DA6260" w:rsidRDefault="00DA6260" w:rsidP="0037534F">
            <w:pPr>
              <w:jc w:val="both"/>
              <w:rPr>
                <w:sz w:val="24"/>
                <w:szCs w:val="24"/>
              </w:rPr>
            </w:pPr>
            <w:r>
              <w:rPr>
                <w:sz w:val="24"/>
                <w:szCs w:val="24"/>
              </w:rPr>
              <w:t>Ugradnja termoizolacionog krova korišćenjem novih tehnologija</w:t>
            </w:r>
          </w:p>
        </w:tc>
        <w:tc>
          <w:tcPr>
            <w:tcW w:w="1276" w:type="dxa"/>
            <w:tcMar>
              <w:left w:w="57" w:type="dxa"/>
              <w:right w:w="57" w:type="dxa"/>
            </w:tcMar>
            <w:vAlign w:val="center"/>
          </w:tcPr>
          <w:p w:rsidR="00DA6260" w:rsidRDefault="00DA6260" w:rsidP="0037534F">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37534F">
            <w:pPr>
              <w:jc w:val="both"/>
              <w:rPr>
                <w:sz w:val="24"/>
                <w:szCs w:val="24"/>
              </w:rPr>
            </w:pPr>
            <w:r>
              <w:rPr>
                <w:sz w:val="24"/>
                <w:szCs w:val="24"/>
              </w:rPr>
              <w:t>IV kvartal</w:t>
            </w:r>
          </w:p>
        </w:tc>
        <w:tc>
          <w:tcPr>
            <w:tcW w:w="1313" w:type="dxa"/>
            <w:tcMar>
              <w:left w:w="57" w:type="dxa"/>
              <w:right w:w="57" w:type="dxa"/>
            </w:tcMar>
            <w:vAlign w:val="center"/>
          </w:tcPr>
          <w:p w:rsidR="00DA6260" w:rsidRDefault="00DA6260" w:rsidP="0037534F">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37534F">
            <w:pPr>
              <w:jc w:val="both"/>
              <w:rPr>
                <w:sz w:val="24"/>
                <w:szCs w:val="24"/>
              </w:rPr>
            </w:pPr>
            <w:r>
              <w:rPr>
                <w:sz w:val="24"/>
                <w:szCs w:val="24"/>
              </w:rPr>
              <w:t>Budžet Opštine</w:t>
            </w:r>
          </w:p>
        </w:tc>
      </w:tr>
      <w:tr w:rsidR="00DA6260" w:rsidTr="0037534F">
        <w:trPr>
          <w:trHeight w:val="2631"/>
        </w:trPr>
        <w:tc>
          <w:tcPr>
            <w:tcW w:w="675" w:type="dxa"/>
            <w:tcMar>
              <w:left w:w="57" w:type="dxa"/>
              <w:right w:w="57" w:type="dxa"/>
            </w:tcMar>
            <w:vAlign w:val="center"/>
          </w:tcPr>
          <w:p w:rsidR="00DA6260" w:rsidRDefault="00DA6260" w:rsidP="0037534F">
            <w:pPr>
              <w:jc w:val="both"/>
              <w:rPr>
                <w:sz w:val="18"/>
                <w:szCs w:val="24"/>
              </w:rPr>
            </w:pPr>
            <w:r>
              <w:rPr>
                <w:sz w:val="18"/>
                <w:szCs w:val="24"/>
              </w:rPr>
              <w:t>EE2.5</w:t>
            </w:r>
          </w:p>
        </w:tc>
        <w:tc>
          <w:tcPr>
            <w:tcW w:w="1429" w:type="dxa"/>
            <w:tcMar>
              <w:left w:w="57" w:type="dxa"/>
              <w:right w:w="57" w:type="dxa"/>
            </w:tcMar>
            <w:vAlign w:val="center"/>
          </w:tcPr>
          <w:p w:rsidR="00DA6260" w:rsidRDefault="00DA6260" w:rsidP="0037534F">
            <w:pPr>
              <w:jc w:val="both"/>
              <w:rPr>
                <w:sz w:val="24"/>
                <w:szCs w:val="24"/>
              </w:rPr>
            </w:pPr>
            <w:r>
              <w:rPr>
                <w:sz w:val="24"/>
                <w:szCs w:val="24"/>
              </w:rPr>
              <w:t>Projekat postavljanja fotonapo-nskih ćelija na novoj zgradi opštine</w:t>
            </w:r>
          </w:p>
        </w:tc>
        <w:tc>
          <w:tcPr>
            <w:tcW w:w="2257" w:type="dxa"/>
            <w:tcMar>
              <w:left w:w="57" w:type="dxa"/>
              <w:right w:w="57" w:type="dxa"/>
            </w:tcMar>
            <w:vAlign w:val="center"/>
          </w:tcPr>
          <w:p w:rsidR="00DA6260" w:rsidRDefault="00DA6260" w:rsidP="0037534F">
            <w:pPr>
              <w:jc w:val="both"/>
              <w:rPr>
                <w:sz w:val="24"/>
                <w:szCs w:val="24"/>
              </w:rPr>
            </w:pPr>
            <w:r>
              <w:rPr>
                <w:sz w:val="24"/>
                <w:szCs w:val="24"/>
              </w:rPr>
              <w:t>Izrada  projekta za postavljanje fotonaponskih ćelija na novoj zgradi opštine</w:t>
            </w:r>
          </w:p>
        </w:tc>
        <w:tc>
          <w:tcPr>
            <w:tcW w:w="1276" w:type="dxa"/>
            <w:tcMar>
              <w:left w:w="57" w:type="dxa"/>
              <w:right w:w="57" w:type="dxa"/>
            </w:tcMar>
            <w:vAlign w:val="center"/>
          </w:tcPr>
          <w:p w:rsidR="00DA6260" w:rsidRDefault="00DA6260" w:rsidP="0037534F">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37534F">
            <w:pPr>
              <w:jc w:val="both"/>
              <w:rPr>
                <w:sz w:val="24"/>
                <w:szCs w:val="24"/>
              </w:rPr>
            </w:pPr>
            <w:r>
              <w:rPr>
                <w:sz w:val="24"/>
                <w:szCs w:val="24"/>
              </w:rPr>
              <w:t>IV kvartal</w:t>
            </w:r>
          </w:p>
        </w:tc>
        <w:tc>
          <w:tcPr>
            <w:tcW w:w="1313" w:type="dxa"/>
            <w:tcMar>
              <w:left w:w="57" w:type="dxa"/>
              <w:right w:w="57" w:type="dxa"/>
            </w:tcMar>
            <w:vAlign w:val="center"/>
          </w:tcPr>
          <w:p w:rsidR="00DA6260" w:rsidRDefault="00DA6260" w:rsidP="0037534F">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37534F">
            <w:pPr>
              <w:jc w:val="both"/>
              <w:rPr>
                <w:sz w:val="24"/>
                <w:szCs w:val="24"/>
              </w:rPr>
            </w:pPr>
            <w:r>
              <w:rPr>
                <w:sz w:val="24"/>
                <w:szCs w:val="24"/>
              </w:rPr>
              <w:t>EU fondovi</w:t>
            </w:r>
          </w:p>
        </w:tc>
      </w:tr>
      <w:tr w:rsidR="00DA6260" w:rsidTr="0037534F">
        <w:trPr>
          <w:trHeight w:val="2396"/>
        </w:trPr>
        <w:tc>
          <w:tcPr>
            <w:tcW w:w="675" w:type="dxa"/>
            <w:tcMar>
              <w:left w:w="57" w:type="dxa"/>
              <w:right w:w="57" w:type="dxa"/>
            </w:tcMar>
            <w:vAlign w:val="center"/>
          </w:tcPr>
          <w:p w:rsidR="00DA6260" w:rsidRDefault="00DA6260" w:rsidP="0037534F">
            <w:pPr>
              <w:jc w:val="both"/>
              <w:rPr>
                <w:sz w:val="18"/>
                <w:szCs w:val="24"/>
              </w:rPr>
            </w:pPr>
            <w:r>
              <w:rPr>
                <w:sz w:val="18"/>
                <w:szCs w:val="24"/>
              </w:rPr>
              <w:t>EE 2.6</w:t>
            </w:r>
          </w:p>
        </w:tc>
        <w:tc>
          <w:tcPr>
            <w:tcW w:w="1429" w:type="dxa"/>
            <w:tcMar>
              <w:left w:w="57" w:type="dxa"/>
              <w:right w:w="57" w:type="dxa"/>
            </w:tcMar>
            <w:vAlign w:val="center"/>
          </w:tcPr>
          <w:p w:rsidR="00DA6260" w:rsidRDefault="00DA6260" w:rsidP="0037534F">
            <w:pPr>
              <w:jc w:val="both"/>
              <w:rPr>
                <w:sz w:val="24"/>
                <w:szCs w:val="24"/>
              </w:rPr>
            </w:pPr>
            <w:r>
              <w:rPr>
                <w:sz w:val="24"/>
                <w:szCs w:val="24"/>
              </w:rPr>
              <w:t>Rekonstrukcija Centra za kulturu</w:t>
            </w:r>
          </w:p>
        </w:tc>
        <w:tc>
          <w:tcPr>
            <w:tcW w:w="2257" w:type="dxa"/>
            <w:tcMar>
              <w:left w:w="57" w:type="dxa"/>
              <w:right w:w="57" w:type="dxa"/>
            </w:tcMar>
            <w:vAlign w:val="center"/>
          </w:tcPr>
          <w:p w:rsidR="00DA6260" w:rsidRDefault="00DA6260" w:rsidP="0037534F">
            <w:pPr>
              <w:jc w:val="both"/>
              <w:rPr>
                <w:sz w:val="24"/>
                <w:szCs w:val="24"/>
              </w:rPr>
            </w:pPr>
            <w:r>
              <w:rPr>
                <w:sz w:val="24"/>
                <w:szCs w:val="24"/>
              </w:rPr>
              <w:t>Modernizacija kotlovskog sistema i zamjena pojedinih modula novim sistemima</w:t>
            </w:r>
          </w:p>
        </w:tc>
        <w:tc>
          <w:tcPr>
            <w:tcW w:w="1276" w:type="dxa"/>
            <w:tcMar>
              <w:left w:w="57" w:type="dxa"/>
              <w:right w:w="57" w:type="dxa"/>
            </w:tcMar>
            <w:vAlign w:val="center"/>
          </w:tcPr>
          <w:p w:rsidR="00DA6260" w:rsidRDefault="00DA6260" w:rsidP="0037534F">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37534F">
            <w:pPr>
              <w:jc w:val="both"/>
              <w:rPr>
                <w:sz w:val="24"/>
                <w:szCs w:val="24"/>
              </w:rPr>
            </w:pPr>
            <w:r>
              <w:rPr>
                <w:sz w:val="24"/>
                <w:szCs w:val="24"/>
              </w:rPr>
              <w:t>III kvartal</w:t>
            </w:r>
          </w:p>
        </w:tc>
        <w:tc>
          <w:tcPr>
            <w:tcW w:w="1313" w:type="dxa"/>
            <w:tcMar>
              <w:left w:w="57" w:type="dxa"/>
              <w:right w:w="57" w:type="dxa"/>
            </w:tcMar>
            <w:vAlign w:val="center"/>
          </w:tcPr>
          <w:p w:rsidR="00DA6260" w:rsidRDefault="00DA6260" w:rsidP="0037534F">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37534F">
            <w:pPr>
              <w:jc w:val="both"/>
              <w:rPr>
                <w:sz w:val="24"/>
                <w:szCs w:val="24"/>
              </w:rPr>
            </w:pPr>
            <w:r>
              <w:rPr>
                <w:sz w:val="24"/>
                <w:szCs w:val="24"/>
              </w:rPr>
              <w:t>Budžet opštine</w:t>
            </w:r>
          </w:p>
        </w:tc>
      </w:tr>
      <w:tr w:rsidR="00DA6260" w:rsidTr="009B3958">
        <w:trPr>
          <w:trHeight w:val="2396"/>
        </w:trPr>
        <w:tc>
          <w:tcPr>
            <w:tcW w:w="675" w:type="dxa"/>
            <w:tcMar>
              <w:left w:w="57" w:type="dxa"/>
              <w:right w:w="57" w:type="dxa"/>
            </w:tcMar>
            <w:vAlign w:val="center"/>
          </w:tcPr>
          <w:p w:rsidR="00DA6260" w:rsidRDefault="00DA6260" w:rsidP="009B3958">
            <w:pPr>
              <w:jc w:val="both"/>
              <w:rPr>
                <w:sz w:val="18"/>
                <w:szCs w:val="24"/>
              </w:rPr>
            </w:pPr>
            <w:r>
              <w:rPr>
                <w:sz w:val="18"/>
                <w:szCs w:val="24"/>
              </w:rPr>
              <w:t>EE2.7</w:t>
            </w:r>
          </w:p>
        </w:tc>
        <w:tc>
          <w:tcPr>
            <w:tcW w:w="1429" w:type="dxa"/>
            <w:tcMar>
              <w:left w:w="57" w:type="dxa"/>
              <w:right w:w="57" w:type="dxa"/>
            </w:tcMar>
            <w:vAlign w:val="center"/>
          </w:tcPr>
          <w:p w:rsidR="00DA6260" w:rsidRDefault="00DA6260" w:rsidP="009B3958">
            <w:pPr>
              <w:jc w:val="both"/>
              <w:rPr>
                <w:sz w:val="24"/>
                <w:szCs w:val="24"/>
              </w:rPr>
            </w:pPr>
            <w:r>
              <w:rPr>
                <w:sz w:val="24"/>
                <w:szCs w:val="24"/>
              </w:rPr>
              <w:t>Zamjena stolarije u objektu Galerija i muzeji</w:t>
            </w:r>
          </w:p>
        </w:tc>
        <w:tc>
          <w:tcPr>
            <w:tcW w:w="2257" w:type="dxa"/>
            <w:tcMar>
              <w:left w:w="57" w:type="dxa"/>
              <w:right w:w="57" w:type="dxa"/>
            </w:tcMar>
            <w:vAlign w:val="center"/>
          </w:tcPr>
          <w:p w:rsidR="00DA6260" w:rsidRDefault="00DA6260" w:rsidP="009B3958">
            <w:pPr>
              <w:jc w:val="both"/>
              <w:rPr>
                <w:sz w:val="24"/>
                <w:szCs w:val="24"/>
              </w:rPr>
            </w:pPr>
            <w:r>
              <w:rPr>
                <w:sz w:val="24"/>
                <w:szCs w:val="24"/>
              </w:rPr>
              <w:t>Ugradnja stolarije sa visokim termoizolacionim karakteristikama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9B3958">
            <w:pPr>
              <w:jc w:val="both"/>
              <w:rPr>
                <w:sz w:val="24"/>
                <w:szCs w:val="24"/>
              </w:rPr>
            </w:pPr>
            <w:r>
              <w:rPr>
                <w:sz w:val="24"/>
                <w:szCs w:val="24"/>
              </w:rPr>
              <w:t>III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Tr="009B3958">
        <w:trPr>
          <w:trHeight w:val="2396"/>
        </w:trPr>
        <w:tc>
          <w:tcPr>
            <w:tcW w:w="675" w:type="dxa"/>
            <w:tcMar>
              <w:left w:w="57" w:type="dxa"/>
              <w:right w:w="57" w:type="dxa"/>
            </w:tcMar>
            <w:vAlign w:val="center"/>
          </w:tcPr>
          <w:p w:rsidR="00DA6260" w:rsidRDefault="00DA6260" w:rsidP="009B3958">
            <w:pPr>
              <w:jc w:val="both"/>
              <w:rPr>
                <w:sz w:val="18"/>
                <w:szCs w:val="24"/>
              </w:rPr>
            </w:pPr>
            <w:r>
              <w:rPr>
                <w:sz w:val="18"/>
                <w:szCs w:val="24"/>
              </w:rPr>
              <w:lastRenderedPageBreak/>
              <w:t>EE2.8</w:t>
            </w:r>
          </w:p>
        </w:tc>
        <w:tc>
          <w:tcPr>
            <w:tcW w:w="1429" w:type="dxa"/>
            <w:tcMar>
              <w:left w:w="57" w:type="dxa"/>
              <w:right w:w="57" w:type="dxa"/>
            </w:tcMar>
            <w:vAlign w:val="center"/>
          </w:tcPr>
          <w:p w:rsidR="00DA6260" w:rsidRDefault="00DA6260" w:rsidP="009B3958">
            <w:pPr>
              <w:jc w:val="both"/>
              <w:rPr>
                <w:sz w:val="24"/>
                <w:szCs w:val="24"/>
              </w:rPr>
            </w:pPr>
            <w:r>
              <w:rPr>
                <w:sz w:val="24"/>
                <w:szCs w:val="24"/>
              </w:rPr>
              <w:t>Klimatizacija u objektu Zelene pijace</w:t>
            </w:r>
          </w:p>
        </w:tc>
        <w:tc>
          <w:tcPr>
            <w:tcW w:w="2257" w:type="dxa"/>
            <w:tcMar>
              <w:left w:w="57" w:type="dxa"/>
              <w:right w:w="57" w:type="dxa"/>
            </w:tcMar>
            <w:vAlign w:val="center"/>
          </w:tcPr>
          <w:p w:rsidR="00DA6260" w:rsidRDefault="00DA6260" w:rsidP="009B3958">
            <w:pPr>
              <w:jc w:val="both"/>
              <w:rPr>
                <w:sz w:val="24"/>
                <w:szCs w:val="24"/>
              </w:rPr>
            </w:pPr>
            <w:r>
              <w:rPr>
                <w:sz w:val="24"/>
                <w:szCs w:val="24"/>
              </w:rPr>
              <w:t>Klimatizacija korišćenjem visokoefikasnih uređaja za grijanje i klimatizaciju</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9B3958">
            <w:pPr>
              <w:jc w:val="both"/>
              <w:rPr>
                <w:sz w:val="24"/>
                <w:szCs w:val="24"/>
              </w:rPr>
            </w:pPr>
            <w:r>
              <w:rPr>
                <w:sz w:val="24"/>
                <w:szCs w:val="24"/>
              </w:rPr>
              <w:t>II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RPr="002C3E06" w:rsidTr="009B3958">
        <w:trPr>
          <w:trHeight w:val="2481"/>
        </w:trPr>
        <w:tc>
          <w:tcPr>
            <w:tcW w:w="675" w:type="dxa"/>
            <w:tcMar>
              <w:left w:w="57" w:type="dxa"/>
              <w:right w:w="57" w:type="dxa"/>
            </w:tcMar>
            <w:vAlign w:val="center"/>
          </w:tcPr>
          <w:p w:rsidR="00DA6260" w:rsidRPr="00AF701D" w:rsidRDefault="00DA6260" w:rsidP="009B3958">
            <w:pPr>
              <w:jc w:val="both"/>
              <w:rPr>
                <w:sz w:val="18"/>
                <w:szCs w:val="24"/>
              </w:rPr>
            </w:pPr>
            <w:r w:rsidRPr="00AF701D">
              <w:rPr>
                <w:sz w:val="18"/>
                <w:szCs w:val="24"/>
              </w:rPr>
              <w:t>EE2.9</w:t>
            </w:r>
          </w:p>
        </w:tc>
        <w:tc>
          <w:tcPr>
            <w:tcW w:w="1429" w:type="dxa"/>
            <w:tcMar>
              <w:left w:w="57" w:type="dxa"/>
              <w:right w:w="57" w:type="dxa"/>
            </w:tcMar>
            <w:vAlign w:val="center"/>
          </w:tcPr>
          <w:p w:rsidR="00DA6260" w:rsidRDefault="00DA6260" w:rsidP="009B3958">
            <w:pPr>
              <w:jc w:val="both"/>
              <w:rPr>
                <w:sz w:val="24"/>
                <w:szCs w:val="24"/>
              </w:rPr>
            </w:pPr>
            <w:r>
              <w:rPr>
                <w:sz w:val="24"/>
                <w:szCs w:val="24"/>
              </w:rPr>
              <w:t>Izrada detaljnog energetskog pregleda objekata u vlasništvu Opštine</w:t>
            </w:r>
          </w:p>
        </w:tc>
        <w:tc>
          <w:tcPr>
            <w:tcW w:w="2257" w:type="dxa"/>
            <w:tcMar>
              <w:left w:w="57" w:type="dxa"/>
              <w:right w:w="57" w:type="dxa"/>
            </w:tcMar>
            <w:vAlign w:val="center"/>
          </w:tcPr>
          <w:p w:rsidR="00DA6260" w:rsidRDefault="00DA6260" w:rsidP="009B3958">
            <w:pPr>
              <w:jc w:val="both"/>
              <w:rPr>
                <w:sz w:val="24"/>
                <w:szCs w:val="24"/>
              </w:rPr>
            </w:pPr>
            <w:r>
              <w:rPr>
                <w:sz w:val="24"/>
                <w:szCs w:val="24"/>
              </w:rPr>
              <w:t>Izradom detaljnog energetskog pregleda dobiće se osnova za modernizaciju konkretnog objekta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 xml:space="preserve">Poboljšanje energetske efikasnsoti zgrada u vlasništvu </w:t>
            </w:r>
            <w:r>
              <w:rPr>
                <w:sz w:val="24"/>
                <w:szCs w:val="24"/>
              </w:rPr>
              <w:t>O</w:t>
            </w:r>
            <w:r w:rsidRPr="00917C50">
              <w:rPr>
                <w:sz w:val="24"/>
                <w:szCs w:val="24"/>
              </w:rPr>
              <w:t>pštine</w:t>
            </w:r>
          </w:p>
        </w:tc>
        <w:tc>
          <w:tcPr>
            <w:tcW w:w="992" w:type="dxa"/>
            <w:tcMar>
              <w:left w:w="57" w:type="dxa"/>
              <w:right w:w="57" w:type="dxa"/>
            </w:tcMar>
            <w:vAlign w:val="center"/>
          </w:tcPr>
          <w:p w:rsidR="00DA6260" w:rsidRDefault="00DA6260" w:rsidP="009B3958">
            <w:pPr>
              <w:jc w:val="both"/>
              <w:rPr>
                <w:sz w:val="24"/>
                <w:szCs w:val="24"/>
              </w:rPr>
            </w:pPr>
            <w:r>
              <w:rPr>
                <w:sz w:val="24"/>
                <w:szCs w:val="24"/>
              </w:rPr>
              <w:t>IV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RPr="00755333" w:rsidTr="0037534F">
        <w:tc>
          <w:tcPr>
            <w:tcW w:w="675" w:type="dxa"/>
            <w:shd w:val="clear" w:color="auto" w:fill="D9D9D9" w:themeFill="background1" w:themeFillShade="D9"/>
            <w:vAlign w:val="center"/>
          </w:tcPr>
          <w:p w:rsidR="00DA6260" w:rsidRPr="00454A3B" w:rsidRDefault="00DA6260" w:rsidP="005C01B7">
            <w:pPr>
              <w:rPr>
                <w:b/>
                <w:sz w:val="18"/>
                <w:szCs w:val="24"/>
              </w:rPr>
            </w:pPr>
            <w:r w:rsidRPr="00454A3B">
              <w:rPr>
                <w:b/>
                <w:sz w:val="18"/>
                <w:szCs w:val="24"/>
              </w:rPr>
              <w:t>EE 3</w:t>
            </w:r>
          </w:p>
        </w:tc>
        <w:tc>
          <w:tcPr>
            <w:tcW w:w="3686" w:type="dxa"/>
            <w:gridSpan w:val="2"/>
            <w:shd w:val="clear" w:color="auto" w:fill="D9D9D9" w:themeFill="background1" w:themeFillShade="D9"/>
            <w:vAlign w:val="center"/>
          </w:tcPr>
          <w:p w:rsidR="00DA6260" w:rsidRPr="00755333" w:rsidRDefault="00DA6260" w:rsidP="00FD63EA">
            <w:pPr>
              <w:rPr>
                <w:b/>
                <w:sz w:val="24"/>
                <w:szCs w:val="24"/>
              </w:rPr>
            </w:pPr>
            <w:r w:rsidRPr="00755333">
              <w:rPr>
                <w:b/>
                <w:sz w:val="24"/>
                <w:szCs w:val="24"/>
              </w:rPr>
              <w:t>EFIKASNOST U JAVNOJ RASVJETI</w:t>
            </w:r>
          </w:p>
        </w:tc>
        <w:tc>
          <w:tcPr>
            <w:tcW w:w="1276" w:type="dxa"/>
            <w:shd w:val="clear" w:color="auto" w:fill="D9D9D9" w:themeFill="background1" w:themeFillShade="D9"/>
            <w:vAlign w:val="center"/>
          </w:tcPr>
          <w:p w:rsidR="00DA6260" w:rsidRPr="00755333" w:rsidRDefault="00DA6260" w:rsidP="005C01B7">
            <w:pPr>
              <w:rPr>
                <w:b/>
                <w:sz w:val="24"/>
                <w:szCs w:val="24"/>
              </w:rPr>
            </w:pPr>
          </w:p>
        </w:tc>
        <w:tc>
          <w:tcPr>
            <w:tcW w:w="992" w:type="dxa"/>
            <w:shd w:val="clear" w:color="auto" w:fill="D9D9D9" w:themeFill="background1" w:themeFillShade="D9"/>
            <w:vAlign w:val="center"/>
          </w:tcPr>
          <w:p w:rsidR="00DA6260" w:rsidRPr="00755333" w:rsidRDefault="00DA6260" w:rsidP="005C01B7">
            <w:pPr>
              <w:rPr>
                <w:b/>
                <w:sz w:val="24"/>
                <w:szCs w:val="24"/>
              </w:rPr>
            </w:pPr>
          </w:p>
        </w:tc>
        <w:tc>
          <w:tcPr>
            <w:tcW w:w="1313" w:type="dxa"/>
            <w:shd w:val="clear" w:color="auto" w:fill="D9D9D9" w:themeFill="background1" w:themeFillShade="D9"/>
            <w:vAlign w:val="center"/>
          </w:tcPr>
          <w:p w:rsidR="00DA6260" w:rsidRPr="00755333" w:rsidRDefault="00DA6260" w:rsidP="005C01B7">
            <w:pPr>
              <w:rPr>
                <w:b/>
                <w:sz w:val="24"/>
                <w:szCs w:val="24"/>
              </w:rPr>
            </w:pPr>
          </w:p>
        </w:tc>
        <w:tc>
          <w:tcPr>
            <w:tcW w:w="1344" w:type="dxa"/>
            <w:shd w:val="clear" w:color="auto" w:fill="D9D9D9" w:themeFill="background1" w:themeFillShade="D9"/>
            <w:vAlign w:val="center"/>
          </w:tcPr>
          <w:p w:rsidR="00DA6260" w:rsidRPr="00755333" w:rsidRDefault="00DA6260" w:rsidP="00D84AB8">
            <w:pPr>
              <w:rPr>
                <w:b/>
                <w:sz w:val="24"/>
                <w:szCs w:val="24"/>
              </w:rPr>
            </w:pPr>
          </w:p>
        </w:tc>
      </w:tr>
      <w:tr w:rsidR="00DA6260" w:rsidTr="009B3958">
        <w:tc>
          <w:tcPr>
            <w:tcW w:w="675" w:type="dxa"/>
            <w:tcMar>
              <w:left w:w="57" w:type="dxa"/>
              <w:right w:w="57" w:type="dxa"/>
            </w:tcMar>
            <w:vAlign w:val="center"/>
          </w:tcPr>
          <w:p w:rsidR="00DA6260" w:rsidRPr="00454A3B" w:rsidRDefault="00DA6260" w:rsidP="009B3958">
            <w:pPr>
              <w:jc w:val="both"/>
              <w:rPr>
                <w:sz w:val="18"/>
                <w:szCs w:val="24"/>
              </w:rPr>
            </w:pPr>
            <w:r>
              <w:rPr>
                <w:sz w:val="18"/>
                <w:szCs w:val="24"/>
              </w:rPr>
              <w:t>EE3.1</w:t>
            </w:r>
          </w:p>
        </w:tc>
        <w:tc>
          <w:tcPr>
            <w:tcW w:w="1429" w:type="dxa"/>
            <w:tcMar>
              <w:left w:w="57" w:type="dxa"/>
              <w:right w:w="57" w:type="dxa"/>
            </w:tcMar>
            <w:vAlign w:val="center"/>
          </w:tcPr>
          <w:p w:rsidR="00DA6260" w:rsidRDefault="00DA6260" w:rsidP="009B3958">
            <w:pPr>
              <w:jc w:val="both"/>
              <w:rPr>
                <w:sz w:val="24"/>
                <w:szCs w:val="24"/>
              </w:rPr>
            </w:pPr>
            <w:r>
              <w:rPr>
                <w:sz w:val="24"/>
                <w:szCs w:val="24"/>
              </w:rPr>
              <w:t>Realizacija projekta zamjene dijela postojećih svjetiljki javne rasvjete sa novim svjetiljkama sa LED izvorom svjetlosti u dijelu opštine Tivat</w:t>
            </w:r>
          </w:p>
        </w:tc>
        <w:tc>
          <w:tcPr>
            <w:tcW w:w="2257" w:type="dxa"/>
            <w:tcMar>
              <w:left w:w="57" w:type="dxa"/>
              <w:right w:w="57" w:type="dxa"/>
            </w:tcMar>
            <w:vAlign w:val="center"/>
          </w:tcPr>
          <w:p w:rsidR="00DA6260" w:rsidRDefault="00DA6260" w:rsidP="009B3958">
            <w:pPr>
              <w:jc w:val="both"/>
              <w:rPr>
                <w:sz w:val="24"/>
                <w:szCs w:val="24"/>
              </w:rPr>
            </w:pPr>
            <w:r>
              <w:rPr>
                <w:sz w:val="24"/>
                <w:szCs w:val="24"/>
              </w:rPr>
              <w:t>Projekat obuhvata:</w:t>
            </w:r>
          </w:p>
          <w:p w:rsidR="00DA6260" w:rsidRPr="003E4951" w:rsidRDefault="00DA6260" w:rsidP="009B3958">
            <w:pPr>
              <w:jc w:val="both"/>
              <w:rPr>
                <w:rFonts w:ascii="Arial" w:hAnsi="Arial" w:cs="Arial"/>
                <w:lang w:val="sr-Latn-CS"/>
              </w:rPr>
            </w:pPr>
            <w:r w:rsidRPr="003E4951">
              <w:rPr>
                <w:rFonts w:ascii="Arial" w:hAnsi="Arial" w:cs="Arial"/>
                <w:lang w:val="sr-Latn-CS"/>
              </w:rPr>
              <w:t>Glavnu magistralu kroz Tivat</w:t>
            </w:r>
          </w:p>
          <w:p w:rsidR="00DA6260" w:rsidRPr="003E4951" w:rsidRDefault="00DA6260" w:rsidP="009B3958">
            <w:pPr>
              <w:jc w:val="both"/>
              <w:rPr>
                <w:rFonts w:ascii="Arial" w:hAnsi="Arial" w:cs="Arial"/>
                <w:lang w:val="sr-Latn-CS"/>
              </w:rPr>
            </w:pPr>
            <w:r w:rsidRPr="003E4951">
              <w:rPr>
                <w:rFonts w:ascii="Arial" w:hAnsi="Arial" w:cs="Arial"/>
                <w:lang w:val="sr-Latn-CS"/>
              </w:rPr>
              <w:t>Glavni put kroz naselje Radovići</w:t>
            </w:r>
          </w:p>
          <w:p w:rsidR="00DA6260" w:rsidRPr="003E4951" w:rsidRDefault="00DA6260" w:rsidP="009B3958">
            <w:pPr>
              <w:jc w:val="both"/>
              <w:rPr>
                <w:rFonts w:ascii="Arial" w:hAnsi="Arial" w:cs="Arial"/>
                <w:lang w:val="sr-Latn-CS"/>
              </w:rPr>
            </w:pPr>
            <w:r w:rsidRPr="003E4951">
              <w:rPr>
                <w:rFonts w:ascii="Arial" w:hAnsi="Arial" w:cs="Arial"/>
                <w:lang w:val="sr-Latn-CS"/>
              </w:rPr>
              <w:t>Centar grada – ulice:</w:t>
            </w:r>
          </w:p>
          <w:p w:rsidR="00DA6260" w:rsidRDefault="00DA6260" w:rsidP="009B3958">
            <w:pPr>
              <w:jc w:val="both"/>
              <w:rPr>
                <w:sz w:val="24"/>
                <w:szCs w:val="24"/>
              </w:rPr>
            </w:pPr>
            <w:r w:rsidRPr="003E4951">
              <w:rPr>
                <w:rFonts w:ascii="Arial" w:hAnsi="Arial" w:cs="Arial"/>
                <w:lang w:val="sr-Latn-CS"/>
              </w:rPr>
              <w:t>Istarska, Luke Tomanovića, Njegoševa, 21. Novembra, Palih boraca, II dalmatinske, Karpoška, Ribarski put, Kalimanjska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Poboljšanje energetske efikasnosti sistema javne rasvejete</w:t>
            </w:r>
          </w:p>
        </w:tc>
        <w:tc>
          <w:tcPr>
            <w:tcW w:w="992" w:type="dxa"/>
            <w:tcMar>
              <w:left w:w="57" w:type="dxa"/>
              <w:right w:w="57" w:type="dxa"/>
            </w:tcMar>
            <w:vAlign w:val="center"/>
          </w:tcPr>
          <w:p w:rsidR="00DA6260" w:rsidRDefault="00DA6260" w:rsidP="009B3958">
            <w:pPr>
              <w:jc w:val="both"/>
              <w:rPr>
                <w:sz w:val="24"/>
                <w:szCs w:val="24"/>
              </w:rPr>
            </w:pPr>
            <w:r>
              <w:rPr>
                <w:sz w:val="24"/>
                <w:szCs w:val="24"/>
              </w:rPr>
              <w:t xml:space="preserve">II kvartal </w:t>
            </w:r>
          </w:p>
        </w:tc>
        <w:tc>
          <w:tcPr>
            <w:tcW w:w="1313" w:type="dxa"/>
            <w:tcMar>
              <w:left w:w="57" w:type="dxa"/>
              <w:right w:w="57" w:type="dxa"/>
            </w:tcMar>
            <w:vAlign w:val="center"/>
          </w:tcPr>
          <w:p w:rsidR="00DA6260" w:rsidRDefault="00DA6260" w:rsidP="009B3958">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EU fondovi (projekat IRENE)</w:t>
            </w:r>
          </w:p>
        </w:tc>
      </w:tr>
      <w:tr w:rsidR="00DA6260" w:rsidTr="009B3958">
        <w:trPr>
          <w:trHeight w:val="5306"/>
        </w:trPr>
        <w:tc>
          <w:tcPr>
            <w:tcW w:w="675" w:type="dxa"/>
            <w:tcMar>
              <w:left w:w="57" w:type="dxa"/>
              <w:right w:w="57" w:type="dxa"/>
            </w:tcMar>
            <w:vAlign w:val="center"/>
          </w:tcPr>
          <w:p w:rsidR="00DA6260" w:rsidRPr="00454A3B" w:rsidRDefault="00DA6260" w:rsidP="009B3958">
            <w:pPr>
              <w:jc w:val="both"/>
              <w:rPr>
                <w:sz w:val="18"/>
                <w:szCs w:val="24"/>
              </w:rPr>
            </w:pPr>
            <w:r w:rsidRPr="00454A3B">
              <w:rPr>
                <w:sz w:val="18"/>
                <w:szCs w:val="24"/>
              </w:rPr>
              <w:lastRenderedPageBreak/>
              <w:t>EE3.</w:t>
            </w:r>
            <w:r>
              <w:rPr>
                <w:sz w:val="18"/>
                <w:szCs w:val="24"/>
              </w:rPr>
              <w:t>2</w:t>
            </w:r>
          </w:p>
        </w:tc>
        <w:tc>
          <w:tcPr>
            <w:tcW w:w="1429" w:type="dxa"/>
            <w:tcMar>
              <w:left w:w="57" w:type="dxa"/>
              <w:right w:w="57" w:type="dxa"/>
            </w:tcMar>
            <w:vAlign w:val="center"/>
          </w:tcPr>
          <w:p w:rsidR="00DA6260" w:rsidRDefault="00DA6260" w:rsidP="009B3958">
            <w:pPr>
              <w:jc w:val="both"/>
              <w:rPr>
                <w:sz w:val="24"/>
                <w:szCs w:val="24"/>
              </w:rPr>
            </w:pPr>
            <w:r>
              <w:rPr>
                <w:sz w:val="24"/>
                <w:szCs w:val="24"/>
              </w:rPr>
              <w:t>Moderniza-cija (na postojećoj mreži: zamjena starih neefikasnih svijetiljki novim, a na proširenji-ma mreže ugradnja novih EE svjetiljki i sijalica)</w:t>
            </w:r>
          </w:p>
        </w:tc>
        <w:tc>
          <w:tcPr>
            <w:tcW w:w="2257" w:type="dxa"/>
            <w:tcMar>
              <w:left w:w="57" w:type="dxa"/>
              <w:right w:w="57" w:type="dxa"/>
            </w:tcMar>
            <w:vAlign w:val="center"/>
          </w:tcPr>
          <w:p w:rsidR="00DA6260" w:rsidRDefault="00DA6260" w:rsidP="009B3958">
            <w:pPr>
              <w:jc w:val="both"/>
              <w:rPr>
                <w:sz w:val="24"/>
                <w:szCs w:val="24"/>
              </w:rPr>
            </w:pPr>
            <w:r>
              <w:rPr>
                <w:sz w:val="24"/>
                <w:szCs w:val="24"/>
              </w:rPr>
              <w:t>Ovom mjerom bi se postiglo smanjenje el. energije, smanjili troškovi održavanja, ali i povećao komfor i estetski izgled grada (osvjetljenost)</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Poboljšanje energetske efikasnosti sistema javne rasvejete</w:t>
            </w:r>
          </w:p>
        </w:tc>
        <w:tc>
          <w:tcPr>
            <w:tcW w:w="992" w:type="dxa"/>
            <w:tcMar>
              <w:left w:w="57" w:type="dxa"/>
              <w:right w:w="57" w:type="dxa"/>
            </w:tcMar>
            <w:vAlign w:val="center"/>
          </w:tcPr>
          <w:p w:rsidR="00DA6260" w:rsidRDefault="00DA6260" w:rsidP="009B3958">
            <w:pPr>
              <w:jc w:val="both"/>
              <w:rPr>
                <w:sz w:val="24"/>
                <w:szCs w:val="24"/>
              </w:rPr>
            </w:pPr>
            <w:r>
              <w:rPr>
                <w:sz w:val="24"/>
                <w:szCs w:val="24"/>
              </w:rPr>
              <w:t>Tokom cijele godine</w:t>
            </w:r>
          </w:p>
        </w:tc>
        <w:tc>
          <w:tcPr>
            <w:tcW w:w="1313" w:type="dxa"/>
            <w:tcMar>
              <w:left w:w="57" w:type="dxa"/>
              <w:right w:w="57" w:type="dxa"/>
            </w:tcMar>
            <w:vAlign w:val="center"/>
          </w:tcPr>
          <w:p w:rsidR="00DA6260" w:rsidRDefault="00DA6260" w:rsidP="009B3958">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javnih preduzeća/ budžet opštine</w:t>
            </w:r>
          </w:p>
        </w:tc>
      </w:tr>
      <w:tr w:rsidR="00DA6260" w:rsidRPr="00755333" w:rsidTr="0037534F">
        <w:tc>
          <w:tcPr>
            <w:tcW w:w="675" w:type="dxa"/>
            <w:shd w:val="clear" w:color="auto" w:fill="D9D9D9" w:themeFill="background1" w:themeFillShade="D9"/>
            <w:vAlign w:val="center"/>
          </w:tcPr>
          <w:p w:rsidR="00DA6260" w:rsidRPr="00454A3B" w:rsidRDefault="00DA6260" w:rsidP="005C01B7">
            <w:pPr>
              <w:rPr>
                <w:b/>
                <w:sz w:val="18"/>
                <w:szCs w:val="24"/>
              </w:rPr>
            </w:pPr>
            <w:r w:rsidRPr="00454A3B">
              <w:rPr>
                <w:b/>
                <w:sz w:val="18"/>
                <w:szCs w:val="24"/>
              </w:rPr>
              <w:t>EE 4</w:t>
            </w:r>
          </w:p>
        </w:tc>
        <w:tc>
          <w:tcPr>
            <w:tcW w:w="3686" w:type="dxa"/>
            <w:gridSpan w:val="2"/>
            <w:shd w:val="clear" w:color="auto" w:fill="D9D9D9" w:themeFill="background1" w:themeFillShade="D9"/>
            <w:vAlign w:val="center"/>
          </w:tcPr>
          <w:p w:rsidR="00DA6260" w:rsidRPr="00755333" w:rsidRDefault="00DA6260" w:rsidP="0048649E">
            <w:pPr>
              <w:rPr>
                <w:b/>
                <w:sz w:val="24"/>
                <w:szCs w:val="24"/>
              </w:rPr>
            </w:pPr>
            <w:r w:rsidRPr="00755333">
              <w:rPr>
                <w:b/>
                <w:sz w:val="24"/>
                <w:szCs w:val="24"/>
              </w:rPr>
              <w:t>MJERE ENERGETSKE EFIKASNOSTI PREMA GRAĐANIMA I LOKALNIM preduzećima</w:t>
            </w:r>
          </w:p>
        </w:tc>
        <w:tc>
          <w:tcPr>
            <w:tcW w:w="1276" w:type="dxa"/>
            <w:shd w:val="clear" w:color="auto" w:fill="D9D9D9" w:themeFill="background1" w:themeFillShade="D9"/>
            <w:vAlign w:val="center"/>
          </w:tcPr>
          <w:p w:rsidR="00DA6260" w:rsidRPr="00755333" w:rsidRDefault="00DA6260" w:rsidP="005C01B7">
            <w:pPr>
              <w:rPr>
                <w:b/>
                <w:sz w:val="24"/>
                <w:szCs w:val="24"/>
              </w:rPr>
            </w:pPr>
          </w:p>
        </w:tc>
        <w:tc>
          <w:tcPr>
            <w:tcW w:w="992" w:type="dxa"/>
            <w:shd w:val="clear" w:color="auto" w:fill="D9D9D9" w:themeFill="background1" w:themeFillShade="D9"/>
            <w:vAlign w:val="center"/>
          </w:tcPr>
          <w:p w:rsidR="00DA6260" w:rsidRPr="00755333" w:rsidRDefault="00DA6260" w:rsidP="005C01B7">
            <w:pPr>
              <w:rPr>
                <w:b/>
                <w:sz w:val="24"/>
                <w:szCs w:val="24"/>
              </w:rPr>
            </w:pPr>
          </w:p>
        </w:tc>
        <w:tc>
          <w:tcPr>
            <w:tcW w:w="1313" w:type="dxa"/>
            <w:shd w:val="clear" w:color="auto" w:fill="D9D9D9" w:themeFill="background1" w:themeFillShade="D9"/>
            <w:vAlign w:val="center"/>
          </w:tcPr>
          <w:p w:rsidR="00DA6260" w:rsidRPr="00755333" w:rsidRDefault="00DA6260" w:rsidP="005C01B7">
            <w:pPr>
              <w:rPr>
                <w:b/>
                <w:sz w:val="24"/>
                <w:szCs w:val="24"/>
              </w:rPr>
            </w:pPr>
          </w:p>
        </w:tc>
        <w:tc>
          <w:tcPr>
            <w:tcW w:w="1344" w:type="dxa"/>
            <w:shd w:val="clear" w:color="auto" w:fill="D9D9D9" w:themeFill="background1" w:themeFillShade="D9"/>
            <w:vAlign w:val="center"/>
          </w:tcPr>
          <w:p w:rsidR="00DA6260" w:rsidRPr="00755333" w:rsidRDefault="00DA6260" w:rsidP="00D84AB8">
            <w:pPr>
              <w:rPr>
                <w:b/>
                <w:sz w:val="24"/>
                <w:szCs w:val="24"/>
              </w:rPr>
            </w:pPr>
          </w:p>
        </w:tc>
      </w:tr>
      <w:tr w:rsidR="00DA6260" w:rsidTr="009B3958">
        <w:trPr>
          <w:trHeight w:val="2816"/>
        </w:trPr>
        <w:tc>
          <w:tcPr>
            <w:tcW w:w="675" w:type="dxa"/>
            <w:tcMar>
              <w:left w:w="57" w:type="dxa"/>
              <w:right w:w="57" w:type="dxa"/>
            </w:tcMar>
            <w:vAlign w:val="center"/>
          </w:tcPr>
          <w:p w:rsidR="00DA6260" w:rsidRPr="00454A3B" w:rsidRDefault="00DA6260" w:rsidP="009B3958">
            <w:pPr>
              <w:jc w:val="both"/>
              <w:rPr>
                <w:sz w:val="18"/>
                <w:szCs w:val="24"/>
              </w:rPr>
            </w:pPr>
            <w:r>
              <w:rPr>
                <w:sz w:val="18"/>
                <w:szCs w:val="24"/>
              </w:rPr>
              <w:t>EE</w:t>
            </w:r>
            <w:r w:rsidRPr="00454A3B">
              <w:rPr>
                <w:sz w:val="18"/>
                <w:szCs w:val="24"/>
              </w:rPr>
              <w:t>4.1</w:t>
            </w:r>
          </w:p>
        </w:tc>
        <w:tc>
          <w:tcPr>
            <w:tcW w:w="1429" w:type="dxa"/>
            <w:tcMar>
              <w:left w:w="57" w:type="dxa"/>
              <w:right w:w="57" w:type="dxa"/>
            </w:tcMar>
            <w:vAlign w:val="center"/>
          </w:tcPr>
          <w:p w:rsidR="00DA6260" w:rsidRDefault="00DA6260" w:rsidP="009B3958">
            <w:pPr>
              <w:jc w:val="both"/>
              <w:rPr>
                <w:sz w:val="24"/>
                <w:szCs w:val="24"/>
              </w:rPr>
            </w:pPr>
            <w:r>
              <w:rPr>
                <w:sz w:val="24"/>
                <w:szCs w:val="24"/>
              </w:rPr>
              <w:t>Informati-vna kampanja, edukacija</w:t>
            </w:r>
          </w:p>
        </w:tc>
        <w:tc>
          <w:tcPr>
            <w:tcW w:w="2257" w:type="dxa"/>
            <w:tcMar>
              <w:left w:w="57" w:type="dxa"/>
              <w:right w:w="57" w:type="dxa"/>
            </w:tcMar>
            <w:vAlign w:val="center"/>
          </w:tcPr>
          <w:p w:rsidR="00DA6260" w:rsidRDefault="00DA6260" w:rsidP="009B3958">
            <w:pPr>
              <w:jc w:val="both"/>
              <w:rPr>
                <w:sz w:val="24"/>
                <w:szCs w:val="24"/>
              </w:rPr>
            </w:pPr>
            <w:r>
              <w:rPr>
                <w:sz w:val="24"/>
                <w:szCs w:val="24"/>
              </w:rPr>
              <w:t>Podizanje svijesti o mogućnosti-ma uštede energije u domaćinstvi-ma (termoizolaci-one fasade, bravarija, solarno zagrijavanje, EE uređaji, podjela LED sijalica)</w:t>
            </w:r>
          </w:p>
          <w:p w:rsidR="00DA6260" w:rsidRDefault="00DA6260" w:rsidP="009B3958">
            <w:pPr>
              <w:jc w:val="both"/>
              <w:rPr>
                <w:sz w:val="24"/>
                <w:szCs w:val="24"/>
              </w:rPr>
            </w:pPr>
            <w:r>
              <w:rPr>
                <w:sz w:val="24"/>
                <w:szCs w:val="24"/>
              </w:rPr>
              <w:t>Podrška učenicima i profesorima srednje škole u implementa-ciji inovativnih rešenja u smislu EE</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Tokom cijele godine</w:t>
            </w:r>
          </w:p>
        </w:tc>
        <w:tc>
          <w:tcPr>
            <w:tcW w:w="1313" w:type="dxa"/>
            <w:tcMar>
              <w:left w:w="57" w:type="dxa"/>
              <w:right w:w="57" w:type="dxa"/>
            </w:tcMar>
            <w:vAlign w:val="center"/>
          </w:tcPr>
          <w:p w:rsidR="00DA6260" w:rsidRDefault="00DA6260" w:rsidP="009B3958">
            <w:pPr>
              <w:jc w:val="both"/>
              <w:rPr>
                <w:sz w:val="24"/>
                <w:szCs w:val="24"/>
              </w:rPr>
            </w:pPr>
            <w:r>
              <w:rPr>
                <w:sz w:val="24"/>
                <w:szCs w:val="24"/>
              </w:rPr>
              <w:t>Nadležni sekretarijat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Tr="009B3958">
        <w:trPr>
          <w:trHeight w:val="2681"/>
        </w:trPr>
        <w:tc>
          <w:tcPr>
            <w:tcW w:w="675" w:type="dxa"/>
            <w:tcMar>
              <w:left w:w="57" w:type="dxa"/>
              <w:right w:w="57" w:type="dxa"/>
            </w:tcMar>
            <w:vAlign w:val="center"/>
          </w:tcPr>
          <w:p w:rsidR="00DA6260" w:rsidRPr="00454A3B" w:rsidRDefault="00DA6260" w:rsidP="009B3958">
            <w:pPr>
              <w:jc w:val="both"/>
              <w:rPr>
                <w:sz w:val="18"/>
                <w:szCs w:val="24"/>
              </w:rPr>
            </w:pPr>
            <w:r w:rsidRPr="00454A3B">
              <w:rPr>
                <w:sz w:val="18"/>
                <w:szCs w:val="24"/>
              </w:rPr>
              <w:lastRenderedPageBreak/>
              <w:t>EE4.2</w:t>
            </w:r>
          </w:p>
        </w:tc>
        <w:tc>
          <w:tcPr>
            <w:tcW w:w="1429" w:type="dxa"/>
            <w:tcMar>
              <w:left w:w="57" w:type="dxa"/>
              <w:right w:w="57" w:type="dxa"/>
            </w:tcMar>
            <w:vAlign w:val="center"/>
          </w:tcPr>
          <w:p w:rsidR="00DA6260" w:rsidRDefault="00DA6260" w:rsidP="009B3958">
            <w:pPr>
              <w:jc w:val="both"/>
              <w:rPr>
                <w:sz w:val="24"/>
                <w:szCs w:val="24"/>
              </w:rPr>
            </w:pPr>
            <w:r>
              <w:rPr>
                <w:sz w:val="24"/>
                <w:szCs w:val="24"/>
              </w:rPr>
              <w:t>Promovisa-nje upotrebe alternati -vnih prevoznih sredstava</w:t>
            </w:r>
          </w:p>
        </w:tc>
        <w:tc>
          <w:tcPr>
            <w:tcW w:w="2257" w:type="dxa"/>
            <w:tcMar>
              <w:left w:w="57" w:type="dxa"/>
              <w:right w:w="57" w:type="dxa"/>
            </w:tcMar>
            <w:vAlign w:val="center"/>
          </w:tcPr>
          <w:p w:rsidR="00DA6260" w:rsidRPr="003C01E2" w:rsidRDefault="00DA6260" w:rsidP="009B3958">
            <w:pPr>
              <w:jc w:val="both"/>
              <w:rPr>
                <w:sz w:val="24"/>
                <w:szCs w:val="24"/>
              </w:rPr>
            </w:pPr>
            <w:r>
              <w:rPr>
                <w:sz w:val="24"/>
                <w:szCs w:val="24"/>
              </w:rPr>
              <w:t>Organizovanje biciklističkih i pješačkih tura, obilježavanje Evropske nedjelje mobilnosti kroz organizaciju Parking dana, Dana bez automobila i sl.</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III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Zaposleni u opštini Tivat i javnim preduzećima čiji je osnivač opština</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Tr="009B3958">
        <w:trPr>
          <w:trHeight w:val="2819"/>
        </w:trPr>
        <w:tc>
          <w:tcPr>
            <w:tcW w:w="675" w:type="dxa"/>
            <w:tcMar>
              <w:left w:w="57" w:type="dxa"/>
              <w:right w:w="57" w:type="dxa"/>
            </w:tcMar>
            <w:vAlign w:val="center"/>
          </w:tcPr>
          <w:p w:rsidR="00DA6260" w:rsidRPr="00454A3B" w:rsidRDefault="00DA6260" w:rsidP="009B3958">
            <w:pPr>
              <w:jc w:val="both"/>
              <w:rPr>
                <w:sz w:val="18"/>
                <w:szCs w:val="24"/>
              </w:rPr>
            </w:pPr>
            <w:r w:rsidRPr="00454A3B">
              <w:rPr>
                <w:sz w:val="18"/>
                <w:szCs w:val="24"/>
              </w:rPr>
              <w:t>EE4.3</w:t>
            </w:r>
          </w:p>
        </w:tc>
        <w:tc>
          <w:tcPr>
            <w:tcW w:w="1429" w:type="dxa"/>
            <w:tcMar>
              <w:left w:w="57" w:type="dxa"/>
              <w:right w:w="57" w:type="dxa"/>
            </w:tcMar>
            <w:vAlign w:val="center"/>
          </w:tcPr>
          <w:p w:rsidR="00DA6260" w:rsidRDefault="00DA6260" w:rsidP="009B3958">
            <w:pPr>
              <w:jc w:val="both"/>
              <w:rPr>
                <w:sz w:val="24"/>
                <w:szCs w:val="24"/>
              </w:rPr>
            </w:pPr>
            <w:r>
              <w:rPr>
                <w:sz w:val="24"/>
                <w:szCs w:val="24"/>
              </w:rPr>
              <w:t>Inicijativa za saradnju sa lokalnim bankama</w:t>
            </w:r>
          </w:p>
        </w:tc>
        <w:tc>
          <w:tcPr>
            <w:tcW w:w="2257" w:type="dxa"/>
            <w:tcMar>
              <w:left w:w="57" w:type="dxa"/>
              <w:right w:w="57" w:type="dxa"/>
            </w:tcMar>
            <w:vAlign w:val="center"/>
          </w:tcPr>
          <w:p w:rsidR="00DA6260" w:rsidRDefault="00DA6260" w:rsidP="009B3958">
            <w:pPr>
              <w:jc w:val="both"/>
              <w:rPr>
                <w:sz w:val="24"/>
                <w:szCs w:val="24"/>
              </w:rPr>
            </w:pPr>
            <w:r>
              <w:rPr>
                <w:sz w:val="24"/>
                <w:szCs w:val="24"/>
              </w:rPr>
              <w:t>Inicijativa bankama i saradnja u smislu ponude građanima povoljnih (ili beskamatnih) kredita za realizaciju projekata usmjerenih na EE u domaćinstvi-ma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Nadležni sekretarijat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Tr="009B3958">
        <w:trPr>
          <w:trHeight w:val="3153"/>
        </w:trPr>
        <w:tc>
          <w:tcPr>
            <w:tcW w:w="675" w:type="dxa"/>
            <w:tcMar>
              <w:left w:w="57" w:type="dxa"/>
              <w:right w:w="57" w:type="dxa"/>
            </w:tcMar>
            <w:vAlign w:val="center"/>
          </w:tcPr>
          <w:p w:rsidR="00DA6260" w:rsidRPr="00454A3B" w:rsidRDefault="00DA6260" w:rsidP="009B3958">
            <w:pPr>
              <w:jc w:val="both"/>
              <w:rPr>
                <w:sz w:val="18"/>
                <w:szCs w:val="24"/>
              </w:rPr>
            </w:pPr>
            <w:r w:rsidRPr="00454A3B">
              <w:rPr>
                <w:sz w:val="18"/>
                <w:szCs w:val="24"/>
              </w:rPr>
              <w:t>EE4.4</w:t>
            </w:r>
          </w:p>
        </w:tc>
        <w:tc>
          <w:tcPr>
            <w:tcW w:w="1429" w:type="dxa"/>
            <w:tcMar>
              <w:left w:w="57" w:type="dxa"/>
              <w:right w:w="57" w:type="dxa"/>
            </w:tcMar>
            <w:vAlign w:val="center"/>
          </w:tcPr>
          <w:p w:rsidR="00DA6260" w:rsidRDefault="00DA6260" w:rsidP="009B3958">
            <w:pPr>
              <w:jc w:val="both"/>
              <w:rPr>
                <w:sz w:val="24"/>
                <w:szCs w:val="24"/>
              </w:rPr>
            </w:pPr>
            <w:r>
              <w:rPr>
                <w:sz w:val="24"/>
                <w:szCs w:val="24"/>
              </w:rPr>
              <w:t>Tivat solarni krovovi – dugoročne finansijske olakšice za korišćenje solarnih sistema u domaći -nstvima</w:t>
            </w:r>
          </w:p>
        </w:tc>
        <w:tc>
          <w:tcPr>
            <w:tcW w:w="2257" w:type="dxa"/>
            <w:tcMar>
              <w:left w:w="57" w:type="dxa"/>
              <w:right w:w="57" w:type="dxa"/>
            </w:tcMar>
            <w:vAlign w:val="center"/>
          </w:tcPr>
          <w:p w:rsidR="00DA6260" w:rsidRDefault="00DA6260" w:rsidP="00491872">
            <w:pPr>
              <w:jc w:val="both"/>
              <w:rPr>
                <w:sz w:val="24"/>
                <w:szCs w:val="24"/>
              </w:rPr>
            </w:pPr>
            <w:r>
              <w:rPr>
                <w:sz w:val="24"/>
                <w:szCs w:val="24"/>
              </w:rPr>
              <w:t>Razmotriti mogućnost izmjene Odluke o porezu na nepokretnosti</w:t>
            </w:r>
            <w:r w:rsidR="00491872">
              <w:rPr>
                <w:sz w:val="24"/>
                <w:szCs w:val="24"/>
              </w:rPr>
              <w:t xml:space="preserve"> u smislu olakšica za objekte na kojima su sprovedene mjere energetske efikasnosti</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opštine</w:t>
            </w:r>
          </w:p>
        </w:tc>
      </w:tr>
      <w:tr w:rsidR="00DA6260" w:rsidTr="009B3958">
        <w:trPr>
          <w:trHeight w:val="2899"/>
        </w:trPr>
        <w:tc>
          <w:tcPr>
            <w:tcW w:w="675" w:type="dxa"/>
            <w:tcMar>
              <w:left w:w="57" w:type="dxa"/>
              <w:right w:w="57" w:type="dxa"/>
            </w:tcMar>
            <w:vAlign w:val="center"/>
          </w:tcPr>
          <w:p w:rsidR="00DA6260" w:rsidRPr="00454A3B" w:rsidRDefault="00DA6260" w:rsidP="009B3958">
            <w:pPr>
              <w:jc w:val="both"/>
              <w:rPr>
                <w:sz w:val="18"/>
                <w:szCs w:val="24"/>
              </w:rPr>
            </w:pPr>
            <w:r>
              <w:rPr>
                <w:sz w:val="18"/>
                <w:szCs w:val="24"/>
              </w:rPr>
              <w:t>EE4.5</w:t>
            </w:r>
          </w:p>
        </w:tc>
        <w:tc>
          <w:tcPr>
            <w:tcW w:w="1429" w:type="dxa"/>
            <w:tcMar>
              <w:left w:w="57" w:type="dxa"/>
              <w:right w:w="57" w:type="dxa"/>
            </w:tcMar>
            <w:vAlign w:val="center"/>
          </w:tcPr>
          <w:p w:rsidR="00DA6260" w:rsidRDefault="00DA6260" w:rsidP="009B3958">
            <w:pPr>
              <w:jc w:val="both"/>
              <w:rPr>
                <w:sz w:val="24"/>
                <w:szCs w:val="24"/>
              </w:rPr>
            </w:pPr>
            <w:r>
              <w:rPr>
                <w:sz w:val="24"/>
                <w:szCs w:val="24"/>
              </w:rPr>
              <w:t>Dodjela eko sertifikata za ugostiteljske objekte</w:t>
            </w:r>
          </w:p>
        </w:tc>
        <w:tc>
          <w:tcPr>
            <w:tcW w:w="2257" w:type="dxa"/>
            <w:tcMar>
              <w:left w:w="57" w:type="dxa"/>
              <w:right w:w="57" w:type="dxa"/>
            </w:tcMar>
            <w:vAlign w:val="center"/>
          </w:tcPr>
          <w:p w:rsidR="00DA6260" w:rsidRDefault="00DA6260" w:rsidP="009B3958">
            <w:pPr>
              <w:jc w:val="both"/>
              <w:rPr>
                <w:sz w:val="24"/>
                <w:szCs w:val="24"/>
              </w:rPr>
            </w:pPr>
            <w:r>
              <w:rPr>
                <w:sz w:val="24"/>
                <w:szCs w:val="24"/>
              </w:rPr>
              <w:t>Kroz program „Razvoj niskokarbonskog turizma u Crnoj Gori“ u saradnji sa UNDP-jem, a kroz inicijalnu podršku opštine izvršiti sertifikaciju ugostiteljskih objekata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IV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Turistička organizacija, Opština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Budžet javnih preduzeća/ budžet opštine</w:t>
            </w:r>
          </w:p>
        </w:tc>
      </w:tr>
      <w:tr w:rsidR="00DA6260" w:rsidTr="009B3958">
        <w:trPr>
          <w:trHeight w:val="64"/>
        </w:trPr>
        <w:tc>
          <w:tcPr>
            <w:tcW w:w="675" w:type="dxa"/>
            <w:tcMar>
              <w:left w:w="57" w:type="dxa"/>
              <w:right w:w="57" w:type="dxa"/>
            </w:tcMar>
            <w:vAlign w:val="center"/>
          </w:tcPr>
          <w:p w:rsidR="00DA6260" w:rsidRDefault="00DA6260" w:rsidP="009B3958">
            <w:pPr>
              <w:jc w:val="both"/>
              <w:rPr>
                <w:sz w:val="18"/>
                <w:szCs w:val="24"/>
              </w:rPr>
            </w:pPr>
            <w:r>
              <w:rPr>
                <w:sz w:val="18"/>
                <w:szCs w:val="24"/>
              </w:rPr>
              <w:lastRenderedPageBreak/>
              <w:t>EE4.6</w:t>
            </w:r>
          </w:p>
        </w:tc>
        <w:tc>
          <w:tcPr>
            <w:tcW w:w="1429" w:type="dxa"/>
            <w:tcMar>
              <w:left w:w="57" w:type="dxa"/>
              <w:right w:w="57" w:type="dxa"/>
            </w:tcMar>
            <w:vAlign w:val="center"/>
          </w:tcPr>
          <w:p w:rsidR="00DA6260" w:rsidRDefault="00DA6260" w:rsidP="009B3958">
            <w:pPr>
              <w:jc w:val="both"/>
              <w:rPr>
                <w:sz w:val="24"/>
                <w:szCs w:val="24"/>
              </w:rPr>
            </w:pPr>
            <w:r>
              <w:rPr>
                <w:sz w:val="24"/>
                <w:szCs w:val="24"/>
              </w:rPr>
              <w:t>Zamjena bravarije u srednjoj školi „Mladost“</w:t>
            </w:r>
          </w:p>
        </w:tc>
        <w:tc>
          <w:tcPr>
            <w:tcW w:w="2257" w:type="dxa"/>
            <w:tcMar>
              <w:left w:w="57" w:type="dxa"/>
              <w:right w:w="57" w:type="dxa"/>
            </w:tcMar>
            <w:vAlign w:val="center"/>
          </w:tcPr>
          <w:p w:rsidR="00DA6260" w:rsidRDefault="00DA6260" w:rsidP="009B3958">
            <w:pPr>
              <w:jc w:val="both"/>
              <w:rPr>
                <w:sz w:val="24"/>
                <w:szCs w:val="24"/>
              </w:rPr>
            </w:pPr>
            <w:r>
              <w:rPr>
                <w:sz w:val="24"/>
                <w:szCs w:val="24"/>
              </w:rPr>
              <w:t>Potrebno je zamjeniti kompletnu bravariju na objektu srednje škole. U saradnji sa Ministarstvom prosvjete, Opština Tivat će finansijski podržati realizaciju</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III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SMŠ „Mladost“ - Tivat</w:t>
            </w:r>
          </w:p>
        </w:tc>
        <w:tc>
          <w:tcPr>
            <w:tcW w:w="1344" w:type="dxa"/>
            <w:tcMar>
              <w:left w:w="57" w:type="dxa"/>
              <w:right w:w="57" w:type="dxa"/>
            </w:tcMar>
            <w:vAlign w:val="center"/>
          </w:tcPr>
          <w:p w:rsidR="00DA6260" w:rsidRDefault="00DA6260" w:rsidP="009B3958">
            <w:pPr>
              <w:jc w:val="both"/>
              <w:rPr>
                <w:sz w:val="24"/>
                <w:szCs w:val="24"/>
              </w:rPr>
            </w:pPr>
            <w:r>
              <w:rPr>
                <w:sz w:val="24"/>
                <w:szCs w:val="24"/>
              </w:rPr>
              <w:t>Ministarstvo prosvjete i Opština Tivat</w:t>
            </w:r>
          </w:p>
        </w:tc>
      </w:tr>
      <w:tr w:rsidR="00DA6260" w:rsidTr="009B3958">
        <w:trPr>
          <w:trHeight w:val="64"/>
        </w:trPr>
        <w:tc>
          <w:tcPr>
            <w:tcW w:w="675" w:type="dxa"/>
            <w:tcMar>
              <w:left w:w="57" w:type="dxa"/>
              <w:right w:w="57" w:type="dxa"/>
            </w:tcMar>
            <w:vAlign w:val="center"/>
          </w:tcPr>
          <w:p w:rsidR="00DA6260" w:rsidRDefault="00DA6260" w:rsidP="009B3958">
            <w:pPr>
              <w:jc w:val="both"/>
              <w:rPr>
                <w:sz w:val="18"/>
                <w:szCs w:val="24"/>
              </w:rPr>
            </w:pPr>
            <w:r>
              <w:rPr>
                <w:sz w:val="18"/>
                <w:szCs w:val="24"/>
              </w:rPr>
              <w:t>EE4.7</w:t>
            </w:r>
          </w:p>
        </w:tc>
        <w:tc>
          <w:tcPr>
            <w:tcW w:w="1429" w:type="dxa"/>
            <w:tcMar>
              <w:left w:w="57" w:type="dxa"/>
              <w:right w:w="57" w:type="dxa"/>
            </w:tcMar>
            <w:vAlign w:val="center"/>
          </w:tcPr>
          <w:p w:rsidR="00DA6260" w:rsidRDefault="00DA6260" w:rsidP="009B3958">
            <w:pPr>
              <w:jc w:val="both"/>
              <w:rPr>
                <w:sz w:val="24"/>
                <w:szCs w:val="24"/>
              </w:rPr>
            </w:pPr>
            <w:r>
              <w:rPr>
                <w:sz w:val="24"/>
                <w:szCs w:val="24"/>
              </w:rPr>
              <w:t>Zamjena krova na osnovnoj školi „Branko Brinić“ u Radovićima</w:t>
            </w:r>
          </w:p>
        </w:tc>
        <w:tc>
          <w:tcPr>
            <w:tcW w:w="2257" w:type="dxa"/>
            <w:tcMar>
              <w:left w:w="57" w:type="dxa"/>
              <w:right w:w="57" w:type="dxa"/>
            </w:tcMar>
            <w:vAlign w:val="center"/>
          </w:tcPr>
          <w:p w:rsidR="00DA6260" w:rsidRDefault="00DA6260" w:rsidP="009B3958">
            <w:pPr>
              <w:jc w:val="both"/>
              <w:rPr>
                <w:sz w:val="24"/>
                <w:szCs w:val="24"/>
              </w:rPr>
            </w:pPr>
            <w:r>
              <w:rPr>
                <w:sz w:val="24"/>
                <w:szCs w:val="24"/>
              </w:rPr>
              <w:t>Potrebno je zamjeniti krov na objektu osnovne škole u Radovićima, što će nesumnjivo doprinijeti energetskoj efikasnosti samog objekta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Aktivnosti prema g</w:t>
            </w:r>
            <w:r>
              <w:rPr>
                <w:sz w:val="24"/>
                <w:szCs w:val="24"/>
              </w:rPr>
              <w:t>rađanima i lokalnim preduzećima</w:t>
            </w:r>
          </w:p>
        </w:tc>
        <w:tc>
          <w:tcPr>
            <w:tcW w:w="992" w:type="dxa"/>
            <w:tcMar>
              <w:left w:w="57" w:type="dxa"/>
              <w:right w:w="57" w:type="dxa"/>
            </w:tcMar>
            <w:vAlign w:val="center"/>
          </w:tcPr>
          <w:p w:rsidR="00DA6260" w:rsidRDefault="00DA6260" w:rsidP="009B3958">
            <w:pPr>
              <w:jc w:val="both"/>
              <w:rPr>
                <w:sz w:val="24"/>
                <w:szCs w:val="24"/>
              </w:rPr>
            </w:pPr>
            <w:r>
              <w:rPr>
                <w:sz w:val="24"/>
                <w:szCs w:val="24"/>
              </w:rPr>
              <w:t>III kvartal</w:t>
            </w:r>
          </w:p>
        </w:tc>
        <w:tc>
          <w:tcPr>
            <w:tcW w:w="1313" w:type="dxa"/>
            <w:tcMar>
              <w:left w:w="57" w:type="dxa"/>
              <w:right w:w="57" w:type="dxa"/>
            </w:tcMar>
            <w:vAlign w:val="center"/>
          </w:tcPr>
          <w:p w:rsidR="00DA6260" w:rsidRDefault="00DA6260" w:rsidP="009B3958">
            <w:pPr>
              <w:jc w:val="both"/>
              <w:rPr>
                <w:sz w:val="24"/>
                <w:szCs w:val="24"/>
              </w:rPr>
            </w:pPr>
            <w:r>
              <w:rPr>
                <w:sz w:val="24"/>
                <w:szCs w:val="24"/>
              </w:rPr>
              <w:t>OŠ „Branko Brinić“ – Radovići</w:t>
            </w:r>
          </w:p>
        </w:tc>
        <w:tc>
          <w:tcPr>
            <w:tcW w:w="1344" w:type="dxa"/>
            <w:tcMar>
              <w:left w:w="57" w:type="dxa"/>
              <w:right w:w="57" w:type="dxa"/>
            </w:tcMar>
            <w:vAlign w:val="center"/>
          </w:tcPr>
          <w:p w:rsidR="00DA6260" w:rsidRDefault="00491872" w:rsidP="009B3958">
            <w:pPr>
              <w:jc w:val="both"/>
              <w:rPr>
                <w:sz w:val="24"/>
                <w:szCs w:val="24"/>
              </w:rPr>
            </w:pPr>
            <w:r w:rsidRPr="00491872">
              <w:rPr>
                <w:sz w:val="24"/>
                <w:szCs w:val="24"/>
              </w:rPr>
              <w:t>Ministarstvo prosvjete i Opština Tivat</w:t>
            </w:r>
          </w:p>
        </w:tc>
      </w:tr>
      <w:tr w:rsidR="00DA6260" w:rsidRPr="00755333" w:rsidTr="0037534F">
        <w:tc>
          <w:tcPr>
            <w:tcW w:w="675" w:type="dxa"/>
            <w:shd w:val="clear" w:color="auto" w:fill="D9D9D9" w:themeFill="background1" w:themeFillShade="D9"/>
            <w:vAlign w:val="center"/>
          </w:tcPr>
          <w:p w:rsidR="00DA6260" w:rsidRPr="00454A3B" w:rsidRDefault="00DA6260" w:rsidP="005C01B7">
            <w:pPr>
              <w:rPr>
                <w:b/>
                <w:sz w:val="18"/>
                <w:szCs w:val="24"/>
              </w:rPr>
            </w:pPr>
            <w:r w:rsidRPr="00454A3B">
              <w:rPr>
                <w:b/>
                <w:sz w:val="18"/>
                <w:szCs w:val="24"/>
              </w:rPr>
              <w:t>EE 5</w:t>
            </w:r>
          </w:p>
        </w:tc>
        <w:tc>
          <w:tcPr>
            <w:tcW w:w="3686" w:type="dxa"/>
            <w:gridSpan w:val="2"/>
            <w:shd w:val="clear" w:color="auto" w:fill="D9D9D9" w:themeFill="background1" w:themeFillShade="D9"/>
            <w:vAlign w:val="center"/>
          </w:tcPr>
          <w:p w:rsidR="00DA6260" w:rsidRPr="00755333" w:rsidRDefault="00DA6260" w:rsidP="0048649E">
            <w:pPr>
              <w:rPr>
                <w:b/>
                <w:sz w:val="24"/>
                <w:szCs w:val="24"/>
              </w:rPr>
            </w:pPr>
            <w:r w:rsidRPr="00755333">
              <w:rPr>
                <w:b/>
                <w:sz w:val="24"/>
                <w:szCs w:val="24"/>
              </w:rPr>
              <w:t>MJERE ENERGETSKE EFIKASNOSTI SISTEMA VODOSNABDIJEVANJA</w:t>
            </w:r>
          </w:p>
        </w:tc>
        <w:tc>
          <w:tcPr>
            <w:tcW w:w="1276" w:type="dxa"/>
            <w:shd w:val="clear" w:color="auto" w:fill="D9D9D9" w:themeFill="background1" w:themeFillShade="D9"/>
            <w:vAlign w:val="center"/>
          </w:tcPr>
          <w:p w:rsidR="00DA6260" w:rsidRPr="00755333" w:rsidRDefault="00DA6260" w:rsidP="005C01B7">
            <w:pPr>
              <w:rPr>
                <w:b/>
                <w:sz w:val="24"/>
                <w:szCs w:val="24"/>
              </w:rPr>
            </w:pPr>
          </w:p>
        </w:tc>
        <w:tc>
          <w:tcPr>
            <w:tcW w:w="992" w:type="dxa"/>
            <w:shd w:val="clear" w:color="auto" w:fill="D9D9D9" w:themeFill="background1" w:themeFillShade="D9"/>
            <w:vAlign w:val="center"/>
          </w:tcPr>
          <w:p w:rsidR="00DA6260" w:rsidRPr="00755333" w:rsidRDefault="00DA6260" w:rsidP="005C01B7">
            <w:pPr>
              <w:rPr>
                <w:b/>
                <w:sz w:val="24"/>
                <w:szCs w:val="24"/>
              </w:rPr>
            </w:pPr>
          </w:p>
        </w:tc>
        <w:tc>
          <w:tcPr>
            <w:tcW w:w="1313" w:type="dxa"/>
            <w:shd w:val="clear" w:color="auto" w:fill="D9D9D9" w:themeFill="background1" w:themeFillShade="D9"/>
            <w:vAlign w:val="center"/>
          </w:tcPr>
          <w:p w:rsidR="00DA6260" w:rsidRPr="00755333" w:rsidRDefault="00DA6260" w:rsidP="005C01B7">
            <w:pPr>
              <w:rPr>
                <w:b/>
                <w:sz w:val="24"/>
                <w:szCs w:val="24"/>
              </w:rPr>
            </w:pPr>
          </w:p>
        </w:tc>
        <w:tc>
          <w:tcPr>
            <w:tcW w:w="1344" w:type="dxa"/>
            <w:shd w:val="clear" w:color="auto" w:fill="D9D9D9" w:themeFill="background1" w:themeFillShade="D9"/>
            <w:vAlign w:val="center"/>
          </w:tcPr>
          <w:p w:rsidR="00DA6260" w:rsidRPr="00755333" w:rsidRDefault="00DA6260" w:rsidP="00D84AB8">
            <w:pPr>
              <w:rPr>
                <w:b/>
                <w:sz w:val="24"/>
                <w:szCs w:val="24"/>
              </w:rPr>
            </w:pPr>
          </w:p>
        </w:tc>
      </w:tr>
      <w:tr w:rsidR="00DA6260" w:rsidTr="009B3958">
        <w:tc>
          <w:tcPr>
            <w:tcW w:w="675" w:type="dxa"/>
            <w:tcMar>
              <w:left w:w="57" w:type="dxa"/>
              <w:right w:w="57" w:type="dxa"/>
            </w:tcMar>
            <w:vAlign w:val="center"/>
          </w:tcPr>
          <w:p w:rsidR="00DA6260" w:rsidRPr="00454A3B" w:rsidRDefault="00DA6260" w:rsidP="009B3958">
            <w:pPr>
              <w:jc w:val="both"/>
              <w:rPr>
                <w:sz w:val="18"/>
                <w:szCs w:val="24"/>
              </w:rPr>
            </w:pPr>
            <w:r w:rsidRPr="00454A3B">
              <w:rPr>
                <w:sz w:val="18"/>
                <w:szCs w:val="24"/>
              </w:rPr>
              <w:t>EE5.1</w:t>
            </w:r>
          </w:p>
        </w:tc>
        <w:tc>
          <w:tcPr>
            <w:tcW w:w="1429" w:type="dxa"/>
            <w:tcMar>
              <w:left w:w="57" w:type="dxa"/>
              <w:right w:w="57" w:type="dxa"/>
            </w:tcMar>
            <w:vAlign w:val="center"/>
          </w:tcPr>
          <w:p w:rsidR="00DA6260" w:rsidRDefault="00DA6260" w:rsidP="009B3958">
            <w:pPr>
              <w:jc w:val="both"/>
              <w:rPr>
                <w:sz w:val="24"/>
                <w:szCs w:val="24"/>
              </w:rPr>
            </w:pPr>
            <w:r>
              <w:rPr>
                <w:sz w:val="24"/>
                <w:szCs w:val="24"/>
              </w:rPr>
              <w:t>Modernizacija sistema vodosna -bdijevanja i sistema otpadnih voda</w:t>
            </w:r>
          </w:p>
        </w:tc>
        <w:tc>
          <w:tcPr>
            <w:tcW w:w="2257" w:type="dxa"/>
            <w:tcMar>
              <w:left w:w="57" w:type="dxa"/>
              <w:right w:w="57" w:type="dxa"/>
            </w:tcMar>
            <w:vAlign w:val="center"/>
          </w:tcPr>
          <w:p w:rsidR="00DA6260" w:rsidRDefault="009A007F" w:rsidP="009B3958">
            <w:pPr>
              <w:jc w:val="both"/>
              <w:rPr>
                <w:sz w:val="24"/>
                <w:szCs w:val="24"/>
              </w:rPr>
            </w:pPr>
            <w:r>
              <w:rPr>
                <w:sz w:val="24"/>
                <w:szCs w:val="24"/>
              </w:rPr>
              <w:t>U</w:t>
            </w:r>
            <w:r w:rsidR="00DA6260">
              <w:rPr>
                <w:sz w:val="24"/>
                <w:szCs w:val="24"/>
              </w:rPr>
              <w:t>gradnja savremenog sistema mjerenja protoka vode, izrada SCADA sistema</w:t>
            </w:r>
          </w:p>
        </w:tc>
        <w:tc>
          <w:tcPr>
            <w:tcW w:w="1276" w:type="dxa"/>
            <w:tcMar>
              <w:left w:w="57" w:type="dxa"/>
              <w:right w:w="57" w:type="dxa"/>
            </w:tcMar>
            <w:vAlign w:val="center"/>
          </w:tcPr>
          <w:p w:rsidR="00DA6260" w:rsidRDefault="00DA6260" w:rsidP="009B3958">
            <w:pPr>
              <w:jc w:val="both"/>
              <w:rPr>
                <w:sz w:val="24"/>
                <w:szCs w:val="24"/>
              </w:rPr>
            </w:pPr>
            <w:r w:rsidRPr="00917C50">
              <w:rPr>
                <w:sz w:val="24"/>
                <w:szCs w:val="24"/>
              </w:rPr>
              <w:t>Poboljšanje energetske efikasnosti sistema vodosnabdijevanja</w:t>
            </w:r>
          </w:p>
        </w:tc>
        <w:tc>
          <w:tcPr>
            <w:tcW w:w="992" w:type="dxa"/>
            <w:tcMar>
              <w:left w:w="57" w:type="dxa"/>
              <w:right w:w="57" w:type="dxa"/>
            </w:tcMar>
            <w:vAlign w:val="center"/>
          </w:tcPr>
          <w:p w:rsidR="00DA6260" w:rsidRDefault="00DA6260" w:rsidP="009B3958">
            <w:pPr>
              <w:jc w:val="both"/>
              <w:rPr>
                <w:sz w:val="24"/>
                <w:szCs w:val="24"/>
              </w:rPr>
            </w:pPr>
            <w:r>
              <w:rPr>
                <w:sz w:val="24"/>
                <w:szCs w:val="24"/>
              </w:rPr>
              <w:t>Tokom cijele godine</w:t>
            </w:r>
          </w:p>
        </w:tc>
        <w:tc>
          <w:tcPr>
            <w:tcW w:w="1313" w:type="dxa"/>
            <w:tcMar>
              <w:left w:w="57" w:type="dxa"/>
              <w:right w:w="57" w:type="dxa"/>
            </w:tcMar>
            <w:vAlign w:val="center"/>
          </w:tcPr>
          <w:p w:rsidR="00DA6260" w:rsidRDefault="00DA6260" w:rsidP="009B3958">
            <w:pPr>
              <w:jc w:val="both"/>
              <w:rPr>
                <w:sz w:val="24"/>
                <w:szCs w:val="24"/>
              </w:rPr>
            </w:pPr>
            <w:r>
              <w:rPr>
                <w:sz w:val="24"/>
                <w:szCs w:val="24"/>
              </w:rPr>
              <w:t>Vodovod</w:t>
            </w:r>
          </w:p>
        </w:tc>
        <w:tc>
          <w:tcPr>
            <w:tcW w:w="1344" w:type="dxa"/>
            <w:tcMar>
              <w:left w:w="57" w:type="dxa"/>
              <w:right w:w="57" w:type="dxa"/>
            </w:tcMar>
            <w:vAlign w:val="center"/>
          </w:tcPr>
          <w:p w:rsidR="00DA6260" w:rsidRDefault="00DA6260" w:rsidP="009B3958">
            <w:pPr>
              <w:jc w:val="both"/>
              <w:rPr>
                <w:sz w:val="24"/>
                <w:szCs w:val="24"/>
              </w:rPr>
            </w:pPr>
            <w:r>
              <w:rPr>
                <w:sz w:val="24"/>
                <w:szCs w:val="24"/>
              </w:rPr>
              <w:t>Tenderi/EU fondovi</w:t>
            </w:r>
          </w:p>
        </w:tc>
      </w:tr>
    </w:tbl>
    <w:p w:rsidR="00F64669" w:rsidRDefault="00F64669" w:rsidP="00A36E0F">
      <w:pPr>
        <w:jc w:val="both"/>
        <w:rPr>
          <w:sz w:val="24"/>
          <w:szCs w:val="24"/>
        </w:rPr>
      </w:pPr>
    </w:p>
    <w:p w:rsidR="00F64669" w:rsidRDefault="00F64669">
      <w:pPr>
        <w:rPr>
          <w:sz w:val="24"/>
          <w:szCs w:val="24"/>
        </w:rPr>
      </w:pPr>
      <w:r>
        <w:rPr>
          <w:sz w:val="24"/>
          <w:szCs w:val="24"/>
        </w:rPr>
        <w:br w:type="page"/>
      </w:r>
    </w:p>
    <w:p w:rsidR="00EC0EBE" w:rsidRDefault="00EC0EBE" w:rsidP="00A36E0F">
      <w:pPr>
        <w:jc w:val="both"/>
        <w:rPr>
          <w:sz w:val="24"/>
          <w:szCs w:val="24"/>
        </w:rPr>
        <w:sectPr w:rsidR="00EC0EBE" w:rsidSect="00963301">
          <w:footerReference w:type="default" r:id="rId9"/>
          <w:pgSz w:w="11906" w:h="16838" w:code="9"/>
          <w:pgMar w:top="1418" w:right="1418" w:bottom="1418" w:left="1418" w:header="709" w:footer="709" w:gutter="0"/>
          <w:pgNumType w:start="1"/>
          <w:cols w:space="708"/>
          <w:titlePg/>
          <w:docGrid w:linePitch="360"/>
        </w:sectPr>
      </w:pPr>
    </w:p>
    <w:p w:rsidR="005C01B7" w:rsidRDefault="00EC0EBE" w:rsidP="0007319B">
      <w:pPr>
        <w:pStyle w:val="Heading1"/>
        <w:numPr>
          <w:ilvl w:val="0"/>
          <w:numId w:val="18"/>
        </w:numPr>
      </w:pPr>
      <w:bookmarkStart w:id="7" w:name="_Toc506378287"/>
      <w:r w:rsidRPr="00EC0EBE">
        <w:lastRenderedPageBreak/>
        <w:t>PROCJENJENI TROŠKOVI GODIŠNJEG PLANA POBOLJŠANJA ENERGETSKE EFIKASNOSTI I OČEKIVANE UŠTEDE</w:t>
      </w:r>
      <w:bookmarkEnd w:id="7"/>
    </w:p>
    <w:p w:rsidR="00A179E9" w:rsidRDefault="00A179E9" w:rsidP="00656487">
      <w:pPr>
        <w:ind w:left="360" w:firstLine="633"/>
        <w:jc w:val="both"/>
        <w:rPr>
          <w:sz w:val="24"/>
          <w:szCs w:val="24"/>
        </w:rPr>
      </w:pPr>
      <w:r>
        <w:rPr>
          <w:sz w:val="24"/>
          <w:szCs w:val="24"/>
        </w:rPr>
        <w:t>Kako bi finansijska konstrukcija ovoga Plana bila jasnija, ovdje su pregledno date sve mjere i procjena potrebnih investicija</w:t>
      </w:r>
      <w:r w:rsidR="00D53897">
        <w:rPr>
          <w:sz w:val="24"/>
          <w:szCs w:val="24"/>
        </w:rPr>
        <w:t xml:space="preserve"> (Tabela 4.1)</w:t>
      </w:r>
      <w:r>
        <w:rPr>
          <w:sz w:val="24"/>
          <w:szCs w:val="24"/>
        </w:rPr>
        <w:t>. Za pojedine mjere je data procjenjena vrijednost realizacije ukupnog projekta</w:t>
      </w:r>
      <w:r w:rsidR="005030EB">
        <w:rPr>
          <w:sz w:val="24"/>
          <w:szCs w:val="24"/>
        </w:rPr>
        <w:t xml:space="preserve"> ili planirane faze projekta</w:t>
      </w:r>
      <w:r>
        <w:rPr>
          <w:sz w:val="24"/>
          <w:szCs w:val="24"/>
        </w:rPr>
        <w:t xml:space="preserve">, a ne vrijednost dijela radova koji imaju </w:t>
      </w:r>
      <w:r w:rsidR="00806DDB">
        <w:rPr>
          <w:sz w:val="24"/>
          <w:szCs w:val="24"/>
        </w:rPr>
        <w:t xml:space="preserve">direktan </w:t>
      </w:r>
      <w:r>
        <w:rPr>
          <w:sz w:val="24"/>
          <w:szCs w:val="24"/>
        </w:rPr>
        <w:t xml:space="preserve">uticaj na energetsku efikasnost. Kao primjer, rekonstrukcija objekta Centra za kulturu ne sadrži isključivo intervencije vezane za energetsku efikasnost, ali kroz postupak rekonstrukcije su nesumnjivo inkorporirane, ali je nemoguće izdvojiti iznos novčanih sredstava koji će se utrošiti isključivo na energetsku efikasnost. </w:t>
      </w:r>
    </w:p>
    <w:p w:rsidR="00D53897" w:rsidRPr="00D53897" w:rsidRDefault="00D53897" w:rsidP="00D53897">
      <w:pPr>
        <w:ind w:left="360"/>
        <w:jc w:val="both"/>
        <w:rPr>
          <w:b/>
          <w:sz w:val="24"/>
          <w:szCs w:val="24"/>
        </w:rPr>
      </w:pPr>
      <w:r>
        <w:rPr>
          <w:b/>
          <w:sz w:val="24"/>
          <w:szCs w:val="24"/>
        </w:rPr>
        <w:t>Tabela 4.1. Procjenjeni troškovi realizacije Plana za svaku pojedinačnu aktivnost</w:t>
      </w:r>
    </w:p>
    <w:tbl>
      <w:tblPr>
        <w:tblStyle w:val="TableGrid"/>
        <w:tblW w:w="8630" w:type="dxa"/>
        <w:jc w:val="center"/>
        <w:tblLook w:val="04A0" w:firstRow="1" w:lastRow="0" w:firstColumn="1" w:lastColumn="0" w:noHBand="0" w:noVBand="1"/>
      </w:tblPr>
      <w:tblGrid>
        <w:gridCol w:w="1078"/>
        <w:gridCol w:w="4535"/>
        <w:gridCol w:w="1426"/>
        <w:gridCol w:w="1591"/>
      </w:tblGrid>
      <w:tr w:rsidR="00AF701D" w:rsidRPr="00474CE5" w:rsidTr="00871417">
        <w:trPr>
          <w:trHeight w:val="450"/>
          <w:jc w:val="center"/>
        </w:trPr>
        <w:tc>
          <w:tcPr>
            <w:tcW w:w="1078" w:type="dxa"/>
            <w:tcBorders>
              <w:top w:val="single" w:sz="18" w:space="0" w:color="auto"/>
              <w:left w:val="single" w:sz="18" w:space="0" w:color="auto"/>
              <w:bottom w:val="single" w:sz="18" w:space="0" w:color="auto"/>
            </w:tcBorders>
            <w:shd w:val="clear" w:color="auto" w:fill="D9D9D9" w:themeFill="background1" w:themeFillShade="D9"/>
            <w:vAlign w:val="center"/>
          </w:tcPr>
          <w:p w:rsidR="00AF701D" w:rsidRPr="00474CE5" w:rsidRDefault="00AF701D" w:rsidP="00474CE5">
            <w:pPr>
              <w:jc w:val="center"/>
              <w:rPr>
                <w:b/>
                <w:sz w:val="28"/>
              </w:rPr>
            </w:pPr>
            <w:r w:rsidRPr="00474CE5">
              <w:rPr>
                <w:b/>
                <w:sz w:val="28"/>
              </w:rPr>
              <w:t>Oznaka mjere</w:t>
            </w:r>
          </w:p>
        </w:tc>
        <w:tc>
          <w:tcPr>
            <w:tcW w:w="4535" w:type="dxa"/>
            <w:tcBorders>
              <w:top w:val="single" w:sz="18" w:space="0" w:color="auto"/>
              <w:bottom w:val="single" w:sz="18" w:space="0" w:color="auto"/>
            </w:tcBorders>
            <w:shd w:val="clear" w:color="auto" w:fill="D9D9D9" w:themeFill="background1" w:themeFillShade="D9"/>
            <w:vAlign w:val="center"/>
          </w:tcPr>
          <w:p w:rsidR="00AF701D" w:rsidRPr="00474CE5" w:rsidRDefault="00AF701D" w:rsidP="00474CE5">
            <w:pPr>
              <w:jc w:val="center"/>
              <w:rPr>
                <w:b/>
                <w:sz w:val="28"/>
              </w:rPr>
            </w:pPr>
            <w:r w:rsidRPr="00474CE5">
              <w:rPr>
                <w:b/>
                <w:sz w:val="28"/>
              </w:rPr>
              <w:t>Naziv mjere</w:t>
            </w:r>
          </w:p>
        </w:tc>
        <w:tc>
          <w:tcPr>
            <w:tcW w:w="1426" w:type="dxa"/>
            <w:tcBorders>
              <w:top w:val="single" w:sz="18" w:space="0" w:color="auto"/>
              <w:bottom w:val="single" w:sz="18" w:space="0" w:color="auto"/>
            </w:tcBorders>
            <w:shd w:val="clear" w:color="auto" w:fill="D9D9D9" w:themeFill="background1" w:themeFillShade="D9"/>
            <w:vAlign w:val="center"/>
          </w:tcPr>
          <w:p w:rsidR="00AF701D" w:rsidRPr="00474CE5" w:rsidRDefault="00AF701D" w:rsidP="00474CE5">
            <w:pPr>
              <w:jc w:val="center"/>
              <w:rPr>
                <w:b/>
                <w:sz w:val="28"/>
              </w:rPr>
            </w:pPr>
            <w:r w:rsidRPr="00474CE5">
              <w:rPr>
                <w:b/>
                <w:sz w:val="28"/>
              </w:rPr>
              <w:t>Očekivana vrijednost</w:t>
            </w:r>
          </w:p>
        </w:tc>
        <w:tc>
          <w:tcPr>
            <w:tcW w:w="1591" w:type="dxa"/>
            <w:tcBorders>
              <w:top w:val="single" w:sz="18" w:space="0" w:color="auto"/>
              <w:bottom w:val="single" w:sz="18" w:space="0" w:color="auto"/>
              <w:right w:val="single" w:sz="18" w:space="0" w:color="auto"/>
            </w:tcBorders>
            <w:shd w:val="clear" w:color="auto" w:fill="D9D9D9" w:themeFill="background1" w:themeFillShade="D9"/>
          </w:tcPr>
          <w:p w:rsidR="00AF701D" w:rsidRPr="00474CE5" w:rsidRDefault="00AF701D" w:rsidP="00474CE5">
            <w:pPr>
              <w:jc w:val="center"/>
              <w:rPr>
                <w:b/>
                <w:sz w:val="28"/>
              </w:rPr>
            </w:pPr>
            <w:r w:rsidRPr="00474CE5">
              <w:rPr>
                <w:b/>
                <w:sz w:val="28"/>
              </w:rPr>
              <w:t>Očekivani izvor finansiranja</w:t>
            </w:r>
          </w:p>
        </w:tc>
      </w:tr>
      <w:tr w:rsidR="00AF701D" w:rsidRPr="0042689B" w:rsidTr="00871417">
        <w:trPr>
          <w:trHeight w:val="472"/>
          <w:jc w:val="center"/>
        </w:trPr>
        <w:tc>
          <w:tcPr>
            <w:tcW w:w="1078" w:type="dxa"/>
            <w:tcBorders>
              <w:top w:val="single" w:sz="18" w:space="0" w:color="auto"/>
              <w:left w:val="single" w:sz="18" w:space="0" w:color="auto"/>
              <w:bottom w:val="single" w:sz="18" w:space="0" w:color="auto"/>
            </w:tcBorders>
            <w:shd w:val="clear" w:color="auto" w:fill="F2F2F2" w:themeFill="background1" w:themeFillShade="F2"/>
            <w:vAlign w:val="center"/>
          </w:tcPr>
          <w:p w:rsidR="00AF701D" w:rsidRPr="0042689B" w:rsidRDefault="00AF701D" w:rsidP="0042452E">
            <w:pPr>
              <w:rPr>
                <w:b/>
                <w:sz w:val="24"/>
              </w:rPr>
            </w:pPr>
            <w:r w:rsidRPr="0042689B">
              <w:rPr>
                <w:b/>
                <w:sz w:val="24"/>
              </w:rPr>
              <w:t>EE1</w:t>
            </w:r>
          </w:p>
        </w:tc>
        <w:tc>
          <w:tcPr>
            <w:tcW w:w="4535" w:type="dxa"/>
            <w:tcBorders>
              <w:top w:val="single" w:sz="18" w:space="0" w:color="auto"/>
              <w:bottom w:val="single" w:sz="18" w:space="0" w:color="auto"/>
            </w:tcBorders>
            <w:shd w:val="clear" w:color="auto" w:fill="F2F2F2" w:themeFill="background1" w:themeFillShade="F2"/>
            <w:vAlign w:val="center"/>
          </w:tcPr>
          <w:p w:rsidR="00AF701D" w:rsidRPr="0042689B" w:rsidRDefault="00AF701D" w:rsidP="0042452E">
            <w:pPr>
              <w:rPr>
                <w:b/>
                <w:sz w:val="24"/>
              </w:rPr>
            </w:pPr>
            <w:r w:rsidRPr="0042689B">
              <w:rPr>
                <w:b/>
                <w:sz w:val="24"/>
              </w:rPr>
              <w:t>Razvoj energetskog menadžmenta</w:t>
            </w:r>
          </w:p>
        </w:tc>
        <w:tc>
          <w:tcPr>
            <w:tcW w:w="1426" w:type="dxa"/>
            <w:tcBorders>
              <w:top w:val="single" w:sz="18" w:space="0" w:color="auto"/>
              <w:bottom w:val="single" w:sz="18" w:space="0" w:color="auto"/>
            </w:tcBorders>
            <w:shd w:val="clear" w:color="auto" w:fill="F2F2F2" w:themeFill="background1" w:themeFillShade="F2"/>
            <w:vAlign w:val="center"/>
          </w:tcPr>
          <w:p w:rsidR="00AF701D" w:rsidRPr="0042689B" w:rsidRDefault="00DA6260" w:rsidP="0042452E">
            <w:pPr>
              <w:rPr>
                <w:b/>
                <w:sz w:val="24"/>
              </w:rPr>
            </w:pPr>
            <w:r>
              <w:rPr>
                <w:b/>
                <w:sz w:val="24"/>
              </w:rPr>
              <w:t>9</w:t>
            </w:r>
            <w:r w:rsidR="00AF701D">
              <w:rPr>
                <w:b/>
                <w:sz w:val="24"/>
              </w:rPr>
              <w:t>.000,00</w:t>
            </w:r>
          </w:p>
        </w:tc>
        <w:tc>
          <w:tcPr>
            <w:tcW w:w="1591" w:type="dxa"/>
            <w:tcBorders>
              <w:top w:val="single" w:sz="18" w:space="0" w:color="auto"/>
              <w:bottom w:val="single" w:sz="18" w:space="0" w:color="auto"/>
              <w:right w:val="single" w:sz="18" w:space="0" w:color="auto"/>
            </w:tcBorders>
            <w:shd w:val="clear" w:color="auto" w:fill="F2F2F2" w:themeFill="background1" w:themeFillShade="F2"/>
          </w:tcPr>
          <w:p w:rsidR="00AF701D" w:rsidRDefault="00AF701D" w:rsidP="0042452E">
            <w:pPr>
              <w:rPr>
                <w:b/>
                <w:sz w:val="24"/>
              </w:rPr>
            </w:pPr>
          </w:p>
        </w:tc>
      </w:tr>
      <w:tr w:rsidR="00AF701D" w:rsidTr="00871417">
        <w:trPr>
          <w:trHeight w:val="427"/>
          <w:jc w:val="center"/>
        </w:trPr>
        <w:tc>
          <w:tcPr>
            <w:tcW w:w="1078" w:type="dxa"/>
            <w:tcBorders>
              <w:top w:val="single" w:sz="18" w:space="0" w:color="auto"/>
              <w:left w:val="single" w:sz="18" w:space="0" w:color="auto"/>
              <w:bottom w:val="single" w:sz="18" w:space="0" w:color="auto"/>
            </w:tcBorders>
            <w:shd w:val="clear" w:color="auto" w:fill="EAF1DD" w:themeFill="accent3" w:themeFillTint="33"/>
            <w:vAlign w:val="center"/>
          </w:tcPr>
          <w:p w:rsidR="00AF701D" w:rsidRDefault="00AF701D" w:rsidP="0042452E">
            <w:r>
              <w:t>EE 1.1</w:t>
            </w:r>
          </w:p>
        </w:tc>
        <w:tc>
          <w:tcPr>
            <w:tcW w:w="4535" w:type="dxa"/>
            <w:tcBorders>
              <w:top w:val="single" w:sz="18" w:space="0" w:color="auto"/>
              <w:bottom w:val="single" w:sz="18" w:space="0" w:color="auto"/>
            </w:tcBorders>
            <w:shd w:val="clear" w:color="auto" w:fill="EAF1DD" w:themeFill="accent3" w:themeFillTint="33"/>
            <w:vAlign w:val="center"/>
          </w:tcPr>
          <w:p w:rsidR="00AF701D" w:rsidRDefault="00AF701D" w:rsidP="0042452E">
            <w:r>
              <w:t>Edukacija</w:t>
            </w:r>
          </w:p>
        </w:tc>
        <w:tc>
          <w:tcPr>
            <w:tcW w:w="1426" w:type="dxa"/>
            <w:tcBorders>
              <w:top w:val="single" w:sz="18" w:space="0" w:color="auto"/>
              <w:bottom w:val="single" w:sz="18" w:space="0" w:color="auto"/>
            </w:tcBorders>
            <w:shd w:val="clear" w:color="auto" w:fill="EAF1DD" w:themeFill="accent3" w:themeFillTint="33"/>
            <w:vAlign w:val="center"/>
          </w:tcPr>
          <w:p w:rsidR="00AF701D" w:rsidRDefault="00AF701D" w:rsidP="0042452E">
            <w:r>
              <w:t>2.000,00</w:t>
            </w:r>
          </w:p>
        </w:tc>
        <w:tc>
          <w:tcPr>
            <w:tcW w:w="1591" w:type="dxa"/>
            <w:tcBorders>
              <w:top w:val="single" w:sz="18" w:space="0" w:color="auto"/>
              <w:bottom w:val="single" w:sz="18" w:space="0" w:color="auto"/>
              <w:right w:val="single" w:sz="18" w:space="0" w:color="auto"/>
            </w:tcBorders>
            <w:shd w:val="clear" w:color="auto" w:fill="EAF1DD" w:themeFill="accent3" w:themeFillTint="33"/>
          </w:tcPr>
          <w:p w:rsidR="00AF701D" w:rsidRDefault="00AF701D" w:rsidP="0042452E">
            <w:r>
              <w:t>Budžet Opštine</w:t>
            </w:r>
          </w:p>
        </w:tc>
      </w:tr>
      <w:tr w:rsidR="009A0495" w:rsidTr="00871417">
        <w:trPr>
          <w:trHeight w:val="427"/>
          <w:jc w:val="center"/>
        </w:trPr>
        <w:tc>
          <w:tcPr>
            <w:tcW w:w="1078" w:type="dxa"/>
            <w:tcBorders>
              <w:top w:val="single" w:sz="18" w:space="0" w:color="auto"/>
              <w:left w:val="single" w:sz="18" w:space="0" w:color="auto"/>
              <w:bottom w:val="single" w:sz="18" w:space="0" w:color="auto"/>
            </w:tcBorders>
            <w:shd w:val="clear" w:color="auto" w:fill="F2DBDB" w:themeFill="accent2" w:themeFillTint="33"/>
            <w:vAlign w:val="center"/>
          </w:tcPr>
          <w:p w:rsidR="009A0495" w:rsidRDefault="009A0495" w:rsidP="0042452E">
            <w:r>
              <w:t>EE 1.2</w:t>
            </w:r>
          </w:p>
        </w:tc>
        <w:tc>
          <w:tcPr>
            <w:tcW w:w="4535" w:type="dxa"/>
            <w:tcBorders>
              <w:top w:val="single" w:sz="18" w:space="0" w:color="auto"/>
              <w:bottom w:val="single" w:sz="18" w:space="0" w:color="auto"/>
            </w:tcBorders>
            <w:shd w:val="clear" w:color="auto" w:fill="F2DBDB" w:themeFill="accent2" w:themeFillTint="33"/>
            <w:vAlign w:val="center"/>
          </w:tcPr>
          <w:p w:rsidR="009A0495" w:rsidRDefault="009A0495" w:rsidP="00E117CC">
            <w:pPr>
              <w:rPr>
                <w:sz w:val="24"/>
                <w:szCs w:val="24"/>
              </w:rPr>
            </w:pPr>
            <w:r>
              <w:rPr>
                <w:sz w:val="24"/>
                <w:szCs w:val="24"/>
              </w:rPr>
              <w:t>Nabavka opreme za energetsku efikasnost</w:t>
            </w:r>
          </w:p>
        </w:tc>
        <w:tc>
          <w:tcPr>
            <w:tcW w:w="1426" w:type="dxa"/>
            <w:tcBorders>
              <w:top w:val="single" w:sz="18" w:space="0" w:color="auto"/>
              <w:bottom w:val="single" w:sz="18" w:space="0" w:color="auto"/>
            </w:tcBorders>
            <w:shd w:val="clear" w:color="auto" w:fill="F2DBDB" w:themeFill="accent2" w:themeFillTint="33"/>
            <w:vAlign w:val="center"/>
          </w:tcPr>
          <w:p w:rsidR="009A0495" w:rsidRDefault="009A0495" w:rsidP="0042452E">
            <w:r>
              <w:t>7.000,00</w:t>
            </w:r>
          </w:p>
        </w:tc>
        <w:tc>
          <w:tcPr>
            <w:tcW w:w="1591" w:type="dxa"/>
            <w:tcBorders>
              <w:top w:val="single" w:sz="18" w:space="0" w:color="auto"/>
              <w:bottom w:val="single" w:sz="18" w:space="0" w:color="auto"/>
              <w:right w:val="single" w:sz="18" w:space="0" w:color="auto"/>
            </w:tcBorders>
            <w:shd w:val="clear" w:color="auto" w:fill="F2DBDB" w:themeFill="accent2" w:themeFillTint="33"/>
          </w:tcPr>
          <w:p w:rsidR="009A0495" w:rsidRDefault="009A0495" w:rsidP="008039B8">
            <w:r>
              <w:t>Budžet opštine /EU fondovi</w:t>
            </w:r>
          </w:p>
        </w:tc>
      </w:tr>
      <w:tr w:rsidR="00DA6260" w:rsidRPr="0042689B" w:rsidTr="00871417">
        <w:trPr>
          <w:trHeight w:val="495"/>
          <w:jc w:val="center"/>
        </w:trPr>
        <w:tc>
          <w:tcPr>
            <w:tcW w:w="1078" w:type="dxa"/>
            <w:tcBorders>
              <w:top w:val="single" w:sz="18" w:space="0" w:color="auto"/>
              <w:left w:val="single" w:sz="18" w:space="0" w:color="auto"/>
              <w:bottom w:val="single" w:sz="18" w:space="0" w:color="auto"/>
            </w:tcBorders>
            <w:shd w:val="clear" w:color="auto" w:fill="F2F2F2" w:themeFill="background1" w:themeFillShade="F2"/>
            <w:vAlign w:val="center"/>
          </w:tcPr>
          <w:p w:rsidR="00DA6260" w:rsidRPr="0042689B" w:rsidRDefault="00DA6260" w:rsidP="0042452E">
            <w:pPr>
              <w:rPr>
                <w:b/>
                <w:sz w:val="24"/>
              </w:rPr>
            </w:pPr>
            <w:r w:rsidRPr="0042689B">
              <w:rPr>
                <w:b/>
                <w:sz w:val="24"/>
              </w:rPr>
              <w:t>EE2</w:t>
            </w:r>
          </w:p>
        </w:tc>
        <w:tc>
          <w:tcPr>
            <w:tcW w:w="4535" w:type="dxa"/>
            <w:tcBorders>
              <w:top w:val="single" w:sz="18" w:space="0" w:color="auto"/>
              <w:bottom w:val="single" w:sz="18" w:space="0" w:color="auto"/>
            </w:tcBorders>
            <w:shd w:val="clear" w:color="auto" w:fill="F2F2F2" w:themeFill="background1" w:themeFillShade="F2"/>
            <w:vAlign w:val="center"/>
          </w:tcPr>
          <w:p w:rsidR="00DA6260" w:rsidRPr="0042689B" w:rsidRDefault="00DA6260" w:rsidP="0042452E">
            <w:pPr>
              <w:rPr>
                <w:b/>
                <w:sz w:val="24"/>
              </w:rPr>
            </w:pPr>
            <w:r w:rsidRPr="0042689B">
              <w:rPr>
                <w:b/>
                <w:sz w:val="24"/>
              </w:rPr>
              <w:t>Mjere za poboljšanje EE u zgradama</w:t>
            </w:r>
          </w:p>
        </w:tc>
        <w:tc>
          <w:tcPr>
            <w:tcW w:w="1426" w:type="dxa"/>
            <w:tcBorders>
              <w:top w:val="single" w:sz="18" w:space="0" w:color="auto"/>
              <w:bottom w:val="single" w:sz="18" w:space="0" w:color="auto"/>
            </w:tcBorders>
            <w:shd w:val="clear" w:color="auto" w:fill="F2F2F2" w:themeFill="background1" w:themeFillShade="F2"/>
            <w:vAlign w:val="center"/>
          </w:tcPr>
          <w:p w:rsidR="00DA6260" w:rsidRPr="0042689B" w:rsidRDefault="00DA6260" w:rsidP="000C4C36">
            <w:pPr>
              <w:rPr>
                <w:b/>
                <w:sz w:val="24"/>
              </w:rPr>
            </w:pPr>
            <w:r>
              <w:rPr>
                <w:b/>
                <w:sz w:val="24"/>
              </w:rPr>
              <w:t>2</w:t>
            </w:r>
            <w:r w:rsidR="000C4C36">
              <w:rPr>
                <w:b/>
                <w:sz w:val="24"/>
              </w:rPr>
              <w:t>35.073,21</w:t>
            </w:r>
          </w:p>
        </w:tc>
        <w:tc>
          <w:tcPr>
            <w:tcW w:w="1591" w:type="dxa"/>
            <w:tcBorders>
              <w:top w:val="single" w:sz="18" w:space="0" w:color="auto"/>
              <w:bottom w:val="single" w:sz="18" w:space="0" w:color="auto"/>
              <w:right w:val="single" w:sz="18" w:space="0" w:color="auto"/>
            </w:tcBorders>
            <w:shd w:val="clear" w:color="auto" w:fill="F2F2F2" w:themeFill="background1" w:themeFillShade="F2"/>
          </w:tcPr>
          <w:p w:rsidR="00DA6260" w:rsidRDefault="00DA6260" w:rsidP="0042452E">
            <w:pPr>
              <w:rPr>
                <w:b/>
                <w:sz w:val="24"/>
              </w:rPr>
            </w:pPr>
          </w:p>
        </w:tc>
      </w:tr>
      <w:tr w:rsidR="00DA6260" w:rsidTr="00871417">
        <w:trPr>
          <w:trHeight w:val="427"/>
          <w:jc w:val="center"/>
        </w:trPr>
        <w:tc>
          <w:tcPr>
            <w:tcW w:w="1078" w:type="dxa"/>
            <w:tcBorders>
              <w:top w:val="single" w:sz="18" w:space="0" w:color="auto"/>
              <w:left w:val="single" w:sz="18" w:space="0" w:color="auto"/>
            </w:tcBorders>
            <w:shd w:val="clear" w:color="auto" w:fill="EAF1DD" w:themeFill="accent3" w:themeFillTint="33"/>
            <w:vAlign w:val="center"/>
          </w:tcPr>
          <w:p w:rsidR="00DA6260" w:rsidRDefault="00DA6260" w:rsidP="0042452E">
            <w:r>
              <w:t>EE 2.1</w:t>
            </w:r>
          </w:p>
        </w:tc>
        <w:tc>
          <w:tcPr>
            <w:tcW w:w="4535" w:type="dxa"/>
            <w:tcBorders>
              <w:top w:val="single" w:sz="18" w:space="0" w:color="auto"/>
            </w:tcBorders>
            <w:shd w:val="clear" w:color="auto" w:fill="EAF1DD" w:themeFill="accent3" w:themeFillTint="33"/>
            <w:vAlign w:val="center"/>
          </w:tcPr>
          <w:p w:rsidR="00DA6260" w:rsidRDefault="00DA6260" w:rsidP="0042452E">
            <w:r>
              <w:t>Zamjena sijalica</w:t>
            </w:r>
          </w:p>
        </w:tc>
        <w:tc>
          <w:tcPr>
            <w:tcW w:w="1426" w:type="dxa"/>
            <w:tcBorders>
              <w:top w:val="single" w:sz="18" w:space="0" w:color="auto"/>
            </w:tcBorders>
            <w:shd w:val="clear" w:color="auto" w:fill="EAF1DD" w:themeFill="accent3" w:themeFillTint="33"/>
            <w:vAlign w:val="center"/>
          </w:tcPr>
          <w:p w:rsidR="00DA6260" w:rsidRDefault="00DA6260" w:rsidP="0042452E">
            <w:r>
              <w:t>5.000,00</w:t>
            </w:r>
          </w:p>
        </w:tc>
        <w:tc>
          <w:tcPr>
            <w:tcW w:w="1591" w:type="dxa"/>
            <w:tcBorders>
              <w:top w:val="single" w:sz="18" w:space="0" w:color="auto"/>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50"/>
          <w:jc w:val="center"/>
        </w:trPr>
        <w:tc>
          <w:tcPr>
            <w:tcW w:w="1078" w:type="dxa"/>
            <w:tcBorders>
              <w:left w:val="single" w:sz="18" w:space="0" w:color="auto"/>
            </w:tcBorders>
            <w:shd w:val="clear" w:color="auto" w:fill="FDE9D9" w:themeFill="accent6" w:themeFillTint="33"/>
            <w:vAlign w:val="center"/>
          </w:tcPr>
          <w:p w:rsidR="00DA6260" w:rsidRDefault="00DA6260" w:rsidP="0042452E">
            <w:r>
              <w:t>EE 2.2</w:t>
            </w:r>
          </w:p>
        </w:tc>
        <w:tc>
          <w:tcPr>
            <w:tcW w:w="4535" w:type="dxa"/>
            <w:shd w:val="clear" w:color="auto" w:fill="FDE9D9" w:themeFill="accent6" w:themeFillTint="33"/>
            <w:vAlign w:val="center"/>
          </w:tcPr>
          <w:p w:rsidR="00DA6260" w:rsidRDefault="00DA6260" w:rsidP="0042452E">
            <w:r>
              <w:t>Solarni sistem – sportska dvorana „Župa“</w:t>
            </w:r>
          </w:p>
        </w:tc>
        <w:tc>
          <w:tcPr>
            <w:tcW w:w="1426" w:type="dxa"/>
            <w:shd w:val="clear" w:color="auto" w:fill="FDE9D9" w:themeFill="accent6" w:themeFillTint="33"/>
            <w:vAlign w:val="center"/>
          </w:tcPr>
          <w:p w:rsidR="00DA6260" w:rsidRDefault="00DA6260" w:rsidP="0042452E">
            <w:r>
              <w:t>48.000,00</w:t>
            </w:r>
          </w:p>
        </w:tc>
        <w:tc>
          <w:tcPr>
            <w:tcW w:w="1591" w:type="dxa"/>
            <w:tcBorders>
              <w:right w:val="single" w:sz="18" w:space="0" w:color="auto"/>
            </w:tcBorders>
            <w:shd w:val="clear" w:color="auto" w:fill="FDE9D9" w:themeFill="accent6" w:themeFillTint="33"/>
          </w:tcPr>
          <w:p w:rsidR="00DA6260" w:rsidRDefault="00BA0714" w:rsidP="0042452E">
            <w:r>
              <w:t>Budžet opštine /</w:t>
            </w:r>
            <w:r w:rsidR="00DA6260">
              <w:t>EU fondovi</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 2.3</w:t>
            </w:r>
          </w:p>
        </w:tc>
        <w:tc>
          <w:tcPr>
            <w:tcW w:w="4535" w:type="dxa"/>
            <w:shd w:val="clear" w:color="auto" w:fill="EAF1DD" w:themeFill="accent3" w:themeFillTint="33"/>
            <w:vAlign w:val="center"/>
          </w:tcPr>
          <w:p w:rsidR="00DA6260" w:rsidRDefault="00DA6260" w:rsidP="0042452E">
            <w:r>
              <w:t>Zamjena bravarije na objektu sportske dvorane „Župa“</w:t>
            </w:r>
          </w:p>
        </w:tc>
        <w:tc>
          <w:tcPr>
            <w:tcW w:w="1426" w:type="dxa"/>
            <w:shd w:val="clear" w:color="auto" w:fill="EAF1DD" w:themeFill="accent3" w:themeFillTint="33"/>
            <w:vAlign w:val="center"/>
          </w:tcPr>
          <w:p w:rsidR="00DA6260" w:rsidRDefault="00DA6260" w:rsidP="0042452E">
            <w:r>
              <w:t>16.373,21</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EE2.4</w:t>
            </w:r>
          </w:p>
        </w:tc>
        <w:tc>
          <w:tcPr>
            <w:tcW w:w="4535" w:type="dxa"/>
            <w:shd w:val="clear" w:color="auto" w:fill="EAF1DD" w:themeFill="accent3" w:themeFillTint="33"/>
            <w:vAlign w:val="center"/>
          </w:tcPr>
          <w:p w:rsidR="00DA6260" w:rsidRDefault="00DA6260" w:rsidP="0042452E">
            <w:r>
              <w:t>Rekonstrukcija dijela krova na sportskoj dvorani „Župa“</w:t>
            </w:r>
          </w:p>
        </w:tc>
        <w:tc>
          <w:tcPr>
            <w:tcW w:w="1426" w:type="dxa"/>
            <w:shd w:val="clear" w:color="auto" w:fill="EAF1DD" w:themeFill="accent3" w:themeFillTint="33"/>
            <w:vAlign w:val="center"/>
          </w:tcPr>
          <w:p w:rsidR="00DA6260" w:rsidRDefault="00DA6260" w:rsidP="0042452E">
            <w:r>
              <w:t>11.000,00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27"/>
          <w:jc w:val="center"/>
        </w:trPr>
        <w:tc>
          <w:tcPr>
            <w:tcW w:w="1078" w:type="dxa"/>
            <w:tcBorders>
              <w:left w:val="single" w:sz="18" w:space="0" w:color="auto"/>
            </w:tcBorders>
            <w:shd w:val="clear" w:color="auto" w:fill="FDE9D9" w:themeFill="accent6" w:themeFillTint="33"/>
            <w:vAlign w:val="center"/>
          </w:tcPr>
          <w:p w:rsidR="00DA6260" w:rsidRDefault="00DA6260" w:rsidP="0042452E">
            <w:r>
              <w:t>EE 2.5</w:t>
            </w:r>
          </w:p>
        </w:tc>
        <w:tc>
          <w:tcPr>
            <w:tcW w:w="4535" w:type="dxa"/>
            <w:shd w:val="clear" w:color="auto" w:fill="FDE9D9" w:themeFill="accent6" w:themeFillTint="33"/>
            <w:vAlign w:val="center"/>
          </w:tcPr>
          <w:p w:rsidR="00DA6260" w:rsidRDefault="000C4C36" w:rsidP="000C4C36">
            <w:r>
              <w:t xml:space="preserve">Apliciranje prema EU Fondovima za realizaciju projekta </w:t>
            </w:r>
            <w:r w:rsidR="00DA6260">
              <w:t>Fotonaponsk</w:t>
            </w:r>
            <w:r>
              <w:t>e</w:t>
            </w:r>
            <w:r w:rsidR="00DA6260">
              <w:t xml:space="preserve"> elektran</w:t>
            </w:r>
            <w:r>
              <w:t>e</w:t>
            </w:r>
          </w:p>
        </w:tc>
        <w:tc>
          <w:tcPr>
            <w:tcW w:w="1426" w:type="dxa"/>
            <w:shd w:val="clear" w:color="auto" w:fill="FDE9D9" w:themeFill="accent6" w:themeFillTint="33"/>
            <w:vAlign w:val="center"/>
          </w:tcPr>
          <w:p w:rsidR="00DA6260" w:rsidRDefault="000C4C36" w:rsidP="000C4C36">
            <w:pPr>
              <w:jc w:val="center"/>
            </w:pPr>
            <w:r>
              <w:t>-</w:t>
            </w:r>
          </w:p>
        </w:tc>
        <w:tc>
          <w:tcPr>
            <w:tcW w:w="1591" w:type="dxa"/>
            <w:tcBorders>
              <w:right w:val="single" w:sz="18" w:space="0" w:color="auto"/>
            </w:tcBorders>
            <w:shd w:val="clear" w:color="auto" w:fill="FDE9D9" w:themeFill="accent6" w:themeFillTint="33"/>
          </w:tcPr>
          <w:p w:rsidR="00DA6260" w:rsidRDefault="00DA6260" w:rsidP="0042452E">
            <w:r>
              <w:t>EU fondovi</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 2.6</w:t>
            </w:r>
          </w:p>
        </w:tc>
        <w:tc>
          <w:tcPr>
            <w:tcW w:w="4535" w:type="dxa"/>
            <w:shd w:val="clear" w:color="auto" w:fill="EAF1DD" w:themeFill="accent3" w:themeFillTint="33"/>
            <w:vAlign w:val="center"/>
          </w:tcPr>
          <w:p w:rsidR="00DA6260" w:rsidRDefault="00DA6260" w:rsidP="0042452E">
            <w:r>
              <w:t>Rekonstrukcija centra za kulturu</w:t>
            </w:r>
          </w:p>
        </w:tc>
        <w:tc>
          <w:tcPr>
            <w:tcW w:w="1426" w:type="dxa"/>
            <w:shd w:val="clear" w:color="auto" w:fill="EAF1DD" w:themeFill="accent3" w:themeFillTint="33"/>
            <w:vAlign w:val="center"/>
          </w:tcPr>
          <w:p w:rsidR="00DA6260" w:rsidRDefault="00DA6260" w:rsidP="0042452E">
            <w:r>
              <w:t>100.000,00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 2.7</w:t>
            </w:r>
          </w:p>
        </w:tc>
        <w:tc>
          <w:tcPr>
            <w:tcW w:w="4535" w:type="dxa"/>
            <w:shd w:val="clear" w:color="auto" w:fill="EAF1DD" w:themeFill="accent3" w:themeFillTint="33"/>
            <w:vAlign w:val="center"/>
          </w:tcPr>
          <w:p w:rsidR="00DA6260" w:rsidRDefault="00DA6260" w:rsidP="0042452E">
            <w:r>
              <w:t>Zamjena stolarije na objektu „Galerija i muzeji“</w:t>
            </w:r>
          </w:p>
        </w:tc>
        <w:tc>
          <w:tcPr>
            <w:tcW w:w="1426" w:type="dxa"/>
            <w:shd w:val="clear" w:color="auto" w:fill="EAF1DD" w:themeFill="accent3" w:themeFillTint="33"/>
            <w:vAlign w:val="center"/>
          </w:tcPr>
          <w:p w:rsidR="00DA6260" w:rsidRDefault="00DA6260" w:rsidP="0042452E">
            <w:r>
              <w:t>20.000,00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 2.8</w:t>
            </w:r>
          </w:p>
        </w:tc>
        <w:tc>
          <w:tcPr>
            <w:tcW w:w="4535" w:type="dxa"/>
            <w:shd w:val="clear" w:color="auto" w:fill="EAF1DD" w:themeFill="accent3" w:themeFillTint="33"/>
            <w:vAlign w:val="center"/>
          </w:tcPr>
          <w:p w:rsidR="00DA6260" w:rsidRDefault="00DA6260" w:rsidP="0042452E">
            <w:r>
              <w:t>Klimatizacija objekta zelene pijace</w:t>
            </w:r>
          </w:p>
        </w:tc>
        <w:tc>
          <w:tcPr>
            <w:tcW w:w="1426" w:type="dxa"/>
            <w:shd w:val="clear" w:color="auto" w:fill="EAF1DD" w:themeFill="accent3" w:themeFillTint="33"/>
            <w:vAlign w:val="center"/>
          </w:tcPr>
          <w:p w:rsidR="00DA6260" w:rsidRDefault="00DA6260" w:rsidP="0042452E">
            <w:r>
              <w:t>25.000,00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9A0495" w:rsidTr="00871417">
        <w:trPr>
          <w:trHeight w:val="427"/>
          <w:jc w:val="center"/>
        </w:trPr>
        <w:tc>
          <w:tcPr>
            <w:tcW w:w="1078" w:type="dxa"/>
            <w:tcBorders>
              <w:left w:val="single" w:sz="18" w:space="0" w:color="auto"/>
              <w:bottom w:val="single" w:sz="18" w:space="0" w:color="auto"/>
            </w:tcBorders>
            <w:shd w:val="clear" w:color="auto" w:fill="FDE9D9" w:themeFill="accent6" w:themeFillTint="33"/>
            <w:vAlign w:val="center"/>
          </w:tcPr>
          <w:p w:rsidR="009A0495" w:rsidRPr="00AF701D" w:rsidRDefault="009A0495" w:rsidP="0042452E">
            <w:pPr>
              <w:rPr>
                <w:color w:val="FF0000"/>
              </w:rPr>
            </w:pPr>
            <w:r w:rsidRPr="00AF701D">
              <w:t>EE 2.9</w:t>
            </w:r>
          </w:p>
        </w:tc>
        <w:tc>
          <w:tcPr>
            <w:tcW w:w="4535" w:type="dxa"/>
            <w:tcBorders>
              <w:bottom w:val="single" w:sz="18" w:space="0" w:color="auto"/>
            </w:tcBorders>
            <w:shd w:val="clear" w:color="auto" w:fill="FDE9D9" w:themeFill="accent6" w:themeFillTint="33"/>
            <w:vAlign w:val="center"/>
          </w:tcPr>
          <w:p w:rsidR="009A0495" w:rsidRDefault="009A0495" w:rsidP="00E117CC">
            <w:r>
              <w:t>Izrada detaljnih energetskih pregleda objekata u vlasništvu Opštine</w:t>
            </w:r>
          </w:p>
        </w:tc>
        <w:tc>
          <w:tcPr>
            <w:tcW w:w="1426" w:type="dxa"/>
            <w:tcBorders>
              <w:bottom w:val="single" w:sz="18" w:space="0" w:color="auto"/>
            </w:tcBorders>
            <w:shd w:val="clear" w:color="auto" w:fill="FDE9D9" w:themeFill="accent6" w:themeFillTint="33"/>
            <w:vAlign w:val="center"/>
          </w:tcPr>
          <w:p w:rsidR="009A0495" w:rsidRDefault="009A0495" w:rsidP="00DA6260">
            <w:r>
              <w:t>14.700,00</w:t>
            </w:r>
          </w:p>
        </w:tc>
        <w:tc>
          <w:tcPr>
            <w:tcW w:w="1591" w:type="dxa"/>
            <w:tcBorders>
              <w:bottom w:val="single" w:sz="18" w:space="0" w:color="auto"/>
              <w:right w:val="single" w:sz="18" w:space="0" w:color="auto"/>
            </w:tcBorders>
            <w:shd w:val="clear" w:color="auto" w:fill="FDE9D9" w:themeFill="accent6" w:themeFillTint="33"/>
          </w:tcPr>
          <w:p w:rsidR="009A0495" w:rsidRDefault="009A0495" w:rsidP="008039B8">
            <w:r>
              <w:t>Budžet opštine /EU fondovi</w:t>
            </w:r>
          </w:p>
        </w:tc>
      </w:tr>
      <w:tr w:rsidR="00DA6260" w:rsidRPr="0042689B" w:rsidTr="00871417">
        <w:trPr>
          <w:trHeight w:val="495"/>
          <w:jc w:val="center"/>
        </w:trPr>
        <w:tc>
          <w:tcPr>
            <w:tcW w:w="1078" w:type="dxa"/>
            <w:tcBorders>
              <w:top w:val="single" w:sz="18" w:space="0" w:color="auto"/>
              <w:left w:val="single" w:sz="18" w:space="0" w:color="auto"/>
              <w:bottom w:val="single" w:sz="18" w:space="0" w:color="auto"/>
            </w:tcBorders>
            <w:shd w:val="clear" w:color="auto" w:fill="F2F2F2" w:themeFill="background1" w:themeFillShade="F2"/>
            <w:vAlign w:val="center"/>
          </w:tcPr>
          <w:p w:rsidR="00DA6260" w:rsidRPr="0042689B" w:rsidRDefault="00DA6260" w:rsidP="0042452E">
            <w:pPr>
              <w:rPr>
                <w:b/>
                <w:sz w:val="24"/>
              </w:rPr>
            </w:pPr>
            <w:r w:rsidRPr="0042689B">
              <w:rPr>
                <w:b/>
                <w:sz w:val="24"/>
              </w:rPr>
              <w:t>EE3</w:t>
            </w:r>
          </w:p>
        </w:tc>
        <w:tc>
          <w:tcPr>
            <w:tcW w:w="4535" w:type="dxa"/>
            <w:tcBorders>
              <w:top w:val="single" w:sz="18" w:space="0" w:color="auto"/>
              <w:bottom w:val="single" w:sz="18" w:space="0" w:color="auto"/>
            </w:tcBorders>
            <w:shd w:val="clear" w:color="auto" w:fill="F2F2F2" w:themeFill="background1" w:themeFillShade="F2"/>
            <w:vAlign w:val="center"/>
          </w:tcPr>
          <w:p w:rsidR="00DA6260" w:rsidRPr="0042689B" w:rsidRDefault="00DA6260" w:rsidP="0042452E">
            <w:pPr>
              <w:rPr>
                <w:b/>
                <w:sz w:val="24"/>
              </w:rPr>
            </w:pPr>
            <w:r w:rsidRPr="0042689B">
              <w:rPr>
                <w:b/>
                <w:sz w:val="24"/>
              </w:rPr>
              <w:t>Efikasnost u javnoj rasvjeti</w:t>
            </w:r>
          </w:p>
        </w:tc>
        <w:tc>
          <w:tcPr>
            <w:tcW w:w="1426" w:type="dxa"/>
            <w:tcBorders>
              <w:top w:val="single" w:sz="18" w:space="0" w:color="auto"/>
              <w:bottom w:val="single" w:sz="18" w:space="0" w:color="auto"/>
            </w:tcBorders>
            <w:shd w:val="clear" w:color="auto" w:fill="F2F2F2" w:themeFill="background1" w:themeFillShade="F2"/>
            <w:vAlign w:val="center"/>
          </w:tcPr>
          <w:p w:rsidR="00DA6260" w:rsidRPr="0042689B" w:rsidRDefault="00DA6260" w:rsidP="0042452E">
            <w:pPr>
              <w:rPr>
                <w:b/>
                <w:sz w:val="24"/>
              </w:rPr>
            </w:pPr>
            <w:r>
              <w:rPr>
                <w:b/>
                <w:sz w:val="24"/>
              </w:rPr>
              <w:t>180.000,00</w:t>
            </w:r>
          </w:p>
        </w:tc>
        <w:tc>
          <w:tcPr>
            <w:tcW w:w="1591" w:type="dxa"/>
            <w:tcBorders>
              <w:top w:val="single" w:sz="18" w:space="0" w:color="auto"/>
              <w:bottom w:val="single" w:sz="18" w:space="0" w:color="auto"/>
              <w:right w:val="single" w:sz="18" w:space="0" w:color="auto"/>
            </w:tcBorders>
            <w:shd w:val="clear" w:color="auto" w:fill="F2F2F2" w:themeFill="background1" w:themeFillShade="F2"/>
          </w:tcPr>
          <w:p w:rsidR="00DA6260" w:rsidRDefault="00DA6260" w:rsidP="0042452E">
            <w:pPr>
              <w:rPr>
                <w:b/>
                <w:sz w:val="24"/>
              </w:rPr>
            </w:pPr>
          </w:p>
        </w:tc>
      </w:tr>
      <w:tr w:rsidR="00DA6260" w:rsidTr="00871417">
        <w:trPr>
          <w:trHeight w:val="427"/>
          <w:jc w:val="center"/>
        </w:trPr>
        <w:tc>
          <w:tcPr>
            <w:tcW w:w="1078" w:type="dxa"/>
            <w:tcBorders>
              <w:top w:val="single" w:sz="18" w:space="0" w:color="auto"/>
              <w:left w:val="single" w:sz="18" w:space="0" w:color="auto"/>
            </w:tcBorders>
            <w:shd w:val="clear" w:color="auto" w:fill="FDE9D9" w:themeFill="accent6" w:themeFillTint="33"/>
            <w:vAlign w:val="center"/>
          </w:tcPr>
          <w:p w:rsidR="00DA6260" w:rsidRDefault="00DA6260" w:rsidP="0042452E">
            <w:r>
              <w:t>EE 3.1</w:t>
            </w:r>
          </w:p>
        </w:tc>
        <w:tc>
          <w:tcPr>
            <w:tcW w:w="4535" w:type="dxa"/>
            <w:tcBorders>
              <w:top w:val="single" w:sz="18" w:space="0" w:color="auto"/>
            </w:tcBorders>
            <w:shd w:val="clear" w:color="auto" w:fill="FDE9D9" w:themeFill="accent6" w:themeFillTint="33"/>
            <w:vAlign w:val="center"/>
          </w:tcPr>
          <w:p w:rsidR="00DA6260" w:rsidRDefault="00DA6260" w:rsidP="0042452E">
            <w:r>
              <w:t>Rekonstrukcija javne rasvjete</w:t>
            </w:r>
          </w:p>
        </w:tc>
        <w:tc>
          <w:tcPr>
            <w:tcW w:w="1426" w:type="dxa"/>
            <w:tcBorders>
              <w:top w:val="single" w:sz="18" w:space="0" w:color="auto"/>
            </w:tcBorders>
            <w:shd w:val="clear" w:color="auto" w:fill="FDE9D9" w:themeFill="accent6" w:themeFillTint="33"/>
            <w:vAlign w:val="center"/>
          </w:tcPr>
          <w:p w:rsidR="00DA6260" w:rsidRDefault="00DA6260" w:rsidP="0042452E">
            <w:r>
              <w:t>140.000,00</w:t>
            </w:r>
          </w:p>
        </w:tc>
        <w:tc>
          <w:tcPr>
            <w:tcW w:w="1591" w:type="dxa"/>
            <w:tcBorders>
              <w:top w:val="single" w:sz="18" w:space="0" w:color="auto"/>
              <w:right w:val="single" w:sz="18" w:space="0" w:color="auto"/>
            </w:tcBorders>
            <w:shd w:val="clear" w:color="auto" w:fill="FDE9D9" w:themeFill="accent6" w:themeFillTint="33"/>
          </w:tcPr>
          <w:p w:rsidR="00DA6260" w:rsidRDefault="00BA0714" w:rsidP="0042452E">
            <w:r>
              <w:t>Budžet opštine /</w:t>
            </w:r>
            <w:r w:rsidR="00DA6260">
              <w:t>EU fondovi</w:t>
            </w:r>
          </w:p>
        </w:tc>
      </w:tr>
      <w:tr w:rsidR="00DA6260" w:rsidTr="00871417">
        <w:trPr>
          <w:trHeight w:val="450"/>
          <w:jc w:val="center"/>
        </w:trPr>
        <w:tc>
          <w:tcPr>
            <w:tcW w:w="1078" w:type="dxa"/>
            <w:tcBorders>
              <w:left w:val="single" w:sz="18" w:space="0" w:color="auto"/>
              <w:bottom w:val="single" w:sz="18" w:space="0" w:color="auto"/>
            </w:tcBorders>
            <w:shd w:val="clear" w:color="auto" w:fill="EAF1DD" w:themeFill="accent3" w:themeFillTint="33"/>
            <w:vAlign w:val="center"/>
          </w:tcPr>
          <w:p w:rsidR="00DA6260" w:rsidRDefault="00DA6260" w:rsidP="0042452E">
            <w:r>
              <w:t>EE 3.2</w:t>
            </w:r>
          </w:p>
        </w:tc>
        <w:tc>
          <w:tcPr>
            <w:tcW w:w="4535" w:type="dxa"/>
            <w:tcBorders>
              <w:bottom w:val="single" w:sz="18" w:space="0" w:color="auto"/>
            </w:tcBorders>
            <w:shd w:val="clear" w:color="auto" w:fill="EAF1DD" w:themeFill="accent3" w:themeFillTint="33"/>
            <w:vAlign w:val="center"/>
          </w:tcPr>
          <w:p w:rsidR="00DA6260" w:rsidRDefault="001E3670" w:rsidP="0042452E">
            <w:r>
              <w:t>J</w:t>
            </w:r>
            <w:r w:rsidR="00DA6260">
              <w:t>avne rasvjete</w:t>
            </w:r>
          </w:p>
        </w:tc>
        <w:tc>
          <w:tcPr>
            <w:tcW w:w="1426" w:type="dxa"/>
            <w:tcBorders>
              <w:bottom w:val="single" w:sz="18" w:space="0" w:color="auto"/>
            </w:tcBorders>
            <w:shd w:val="clear" w:color="auto" w:fill="EAF1DD" w:themeFill="accent3" w:themeFillTint="33"/>
            <w:vAlign w:val="center"/>
          </w:tcPr>
          <w:p w:rsidR="00DA6260" w:rsidRDefault="00DA6260" w:rsidP="0042452E">
            <w:r>
              <w:t>40.000,00</w:t>
            </w:r>
          </w:p>
        </w:tc>
        <w:tc>
          <w:tcPr>
            <w:tcW w:w="1591" w:type="dxa"/>
            <w:tcBorders>
              <w:bottom w:val="single" w:sz="18" w:space="0" w:color="auto"/>
              <w:right w:val="single" w:sz="18" w:space="0" w:color="auto"/>
            </w:tcBorders>
            <w:shd w:val="clear" w:color="auto" w:fill="EAF1DD" w:themeFill="accent3" w:themeFillTint="33"/>
          </w:tcPr>
          <w:p w:rsidR="00DA6260" w:rsidRDefault="00DA6260" w:rsidP="0042452E">
            <w:r>
              <w:t>Budžet Opštine</w:t>
            </w:r>
          </w:p>
        </w:tc>
      </w:tr>
      <w:tr w:rsidR="00DA6260" w:rsidRPr="00631776" w:rsidTr="00871417">
        <w:trPr>
          <w:trHeight w:val="922"/>
          <w:jc w:val="center"/>
        </w:trPr>
        <w:tc>
          <w:tcPr>
            <w:tcW w:w="1078" w:type="dxa"/>
            <w:tcBorders>
              <w:top w:val="single" w:sz="18" w:space="0" w:color="auto"/>
              <w:left w:val="single" w:sz="18" w:space="0" w:color="auto"/>
            </w:tcBorders>
            <w:shd w:val="clear" w:color="auto" w:fill="F2F2F2" w:themeFill="background1" w:themeFillShade="F2"/>
            <w:vAlign w:val="center"/>
          </w:tcPr>
          <w:p w:rsidR="00DA6260" w:rsidRPr="00631776" w:rsidRDefault="00DA6260" w:rsidP="0042452E">
            <w:pPr>
              <w:rPr>
                <w:b/>
                <w:sz w:val="24"/>
              </w:rPr>
            </w:pPr>
            <w:r w:rsidRPr="00631776">
              <w:rPr>
                <w:b/>
                <w:sz w:val="24"/>
              </w:rPr>
              <w:lastRenderedPageBreak/>
              <w:t>EE4</w:t>
            </w:r>
          </w:p>
        </w:tc>
        <w:tc>
          <w:tcPr>
            <w:tcW w:w="4535" w:type="dxa"/>
            <w:tcBorders>
              <w:top w:val="single" w:sz="18" w:space="0" w:color="auto"/>
            </w:tcBorders>
            <w:shd w:val="clear" w:color="auto" w:fill="F2F2F2" w:themeFill="background1" w:themeFillShade="F2"/>
            <w:vAlign w:val="center"/>
          </w:tcPr>
          <w:p w:rsidR="00DA6260" w:rsidRPr="00631776" w:rsidRDefault="00DA6260" w:rsidP="0042452E">
            <w:pPr>
              <w:rPr>
                <w:b/>
                <w:sz w:val="24"/>
              </w:rPr>
            </w:pPr>
            <w:r w:rsidRPr="00631776">
              <w:rPr>
                <w:b/>
                <w:sz w:val="24"/>
              </w:rPr>
              <w:t>Mjere energetske efikasnosti prema građanima i lokalnim preduzećima</w:t>
            </w:r>
          </w:p>
        </w:tc>
        <w:tc>
          <w:tcPr>
            <w:tcW w:w="1426" w:type="dxa"/>
            <w:tcBorders>
              <w:top w:val="single" w:sz="18" w:space="0" w:color="auto"/>
            </w:tcBorders>
            <w:shd w:val="clear" w:color="auto" w:fill="F2F2F2" w:themeFill="background1" w:themeFillShade="F2"/>
            <w:vAlign w:val="center"/>
          </w:tcPr>
          <w:p w:rsidR="00DA6260" w:rsidRPr="00631776" w:rsidRDefault="00DA6260" w:rsidP="0042452E">
            <w:pPr>
              <w:rPr>
                <w:b/>
                <w:sz w:val="24"/>
              </w:rPr>
            </w:pPr>
            <w:r>
              <w:rPr>
                <w:b/>
                <w:sz w:val="24"/>
              </w:rPr>
              <w:t>104.000,00</w:t>
            </w:r>
          </w:p>
        </w:tc>
        <w:tc>
          <w:tcPr>
            <w:tcW w:w="1591" w:type="dxa"/>
            <w:tcBorders>
              <w:top w:val="single" w:sz="18" w:space="0" w:color="auto"/>
              <w:right w:val="single" w:sz="18" w:space="0" w:color="auto"/>
            </w:tcBorders>
            <w:shd w:val="clear" w:color="auto" w:fill="F2F2F2" w:themeFill="background1" w:themeFillShade="F2"/>
          </w:tcPr>
          <w:p w:rsidR="00DA6260" w:rsidRDefault="00DA6260" w:rsidP="0042452E">
            <w:pPr>
              <w:rPr>
                <w:b/>
                <w:sz w:val="24"/>
              </w:rPr>
            </w:pPr>
          </w:p>
        </w:tc>
      </w:tr>
      <w:tr w:rsidR="00DA6260" w:rsidTr="00871417">
        <w:trPr>
          <w:trHeight w:val="427"/>
          <w:jc w:val="center"/>
        </w:trPr>
        <w:tc>
          <w:tcPr>
            <w:tcW w:w="1078" w:type="dxa"/>
            <w:tcBorders>
              <w:top w:val="single" w:sz="18" w:space="0" w:color="auto"/>
              <w:left w:val="single" w:sz="18" w:space="0" w:color="auto"/>
            </w:tcBorders>
            <w:shd w:val="clear" w:color="auto" w:fill="EAF1DD" w:themeFill="accent3" w:themeFillTint="33"/>
            <w:vAlign w:val="center"/>
          </w:tcPr>
          <w:p w:rsidR="00DA6260" w:rsidRDefault="00DA6260" w:rsidP="0042452E">
            <w:r>
              <w:t>EE 4.1</w:t>
            </w:r>
          </w:p>
        </w:tc>
        <w:tc>
          <w:tcPr>
            <w:tcW w:w="4535" w:type="dxa"/>
            <w:tcBorders>
              <w:top w:val="single" w:sz="18" w:space="0" w:color="auto"/>
            </w:tcBorders>
            <w:shd w:val="clear" w:color="auto" w:fill="EAF1DD" w:themeFill="accent3" w:themeFillTint="33"/>
            <w:vAlign w:val="center"/>
          </w:tcPr>
          <w:p w:rsidR="00DA6260" w:rsidRDefault="00DA6260" w:rsidP="0042452E">
            <w:r>
              <w:t>Informativna kampanja, edukacija</w:t>
            </w:r>
          </w:p>
        </w:tc>
        <w:tc>
          <w:tcPr>
            <w:tcW w:w="1426" w:type="dxa"/>
            <w:tcBorders>
              <w:top w:val="single" w:sz="18" w:space="0" w:color="auto"/>
            </w:tcBorders>
            <w:shd w:val="clear" w:color="auto" w:fill="EAF1DD" w:themeFill="accent3" w:themeFillTint="33"/>
            <w:vAlign w:val="center"/>
          </w:tcPr>
          <w:p w:rsidR="00DA6260" w:rsidRDefault="00DA6260" w:rsidP="0042452E">
            <w:r>
              <w:t>2.000,00</w:t>
            </w:r>
          </w:p>
        </w:tc>
        <w:tc>
          <w:tcPr>
            <w:tcW w:w="1591" w:type="dxa"/>
            <w:tcBorders>
              <w:top w:val="single" w:sz="18" w:space="0" w:color="auto"/>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 4.2</w:t>
            </w:r>
          </w:p>
        </w:tc>
        <w:tc>
          <w:tcPr>
            <w:tcW w:w="4535" w:type="dxa"/>
            <w:shd w:val="clear" w:color="auto" w:fill="EAF1DD" w:themeFill="accent3" w:themeFillTint="33"/>
            <w:vAlign w:val="center"/>
          </w:tcPr>
          <w:p w:rsidR="00DA6260" w:rsidRDefault="00DA6260" w:rsidP="0042452E">
            <w:r>
              <w:t>Promovisanje alternativnih prevoznih sredstava</w:t>
            </w:r>
          </w:p>
        </w:tc>
        <w:tc>
          <w:tcPr>
            <w:tcW w:w="1426" w:type="dxa"/>
            <w:shd w:val="clear" w:color="auto" w:fill="EAF1DD" w:themeFill="accent3" w:themeFillTint="33"/>
            <w:vAlign w:val="center"/>
          </w:tcPr>
          <w:p w:rsidR="00DA6260" w:rsidRDefault="00DA6260" w:rsidP="0042452E">
            <w:r>
              <w:t>1.000,00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27"/>
          <w:jc w:val="center"/>
        </w:trPr>
        <w:tc>
          <w:tcPr>
            <w:tcW w:w="1078" w:type="dxa"/>
            <w:tcBorders>
              <w:left w:val="single" w:sz="18" w:space="0" w:color="auto"/>
            </w:tcBorders>
            <w:shd w:val="clear" w:color="auto" w:fill="EAF1DD" w:themeFill="accent3" w:themeFillTint="33"/>
            <w:vAlign w:val="center"/>
          </w:tcPr>
          <w:p w:rsidR="00DA6260" w:rsidRDefault="00DA6260" w:rsidP="0042452E">
            <w:r>
              <w:t>EE 4.3</w:t>
            </w:r>
          </w:p>
        </w:tc>
        <w:tc>
          <w:tcPr>
            <w:tcW w:w="4535" w:type="dxa"/>
            <w:shd w:val="clear" w:color="auto" w:fill="EAF1DD" w:themeFill="accent3" w:themeFillTint="33"/>
            <w:vAlign w:val="center"/>
          </w:tcPr>
          <w:p w:rsidR="00DA6260" w:rsidRDefault="00DA6260" w:rsidP="0042452E">
            <w:r>
              <w:t>Beskamatni krediti</w:t>
            </w:r>
          </w:p>
        </w:tc>
        <w:tc>
          <w:tcPr>
            <w:tcW w:w="1426" w:type="dxa"/>
            <w:shd w:val="clear" w:color="auto" w:fill="EAF1DD" w:themeFill="accent3" w:themeFillTint="33"/>
            <w:vAlign w:val="center"/>
          </w:tcPr>
          <w:p w:rsidR="00DA6260" w:rsidRDefault="00DA6260" w:rsidP="0042452E">
            <w:r>
              <w:t>10.000,00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50"/>
          <w:jc w:val="center"/>
        </w:trPr>
        <w:tc>
          <w:tcPr>
            <w:tcW w:w="1078" w:type="dxa"/>
            <w:tcBorders>
              <w:left w:val="single" w:sz="18" w:space="0" w:color="auto"/>
            </w:tcBorders>
            <w:vAlign w:val="center"/>
          </w:tcPr>
          <w:p w:rsidR="00DA6260" w:rsidRDefault="00DA6260" w:rsidP="0042452E">
            <w:r>
              <w:t>EE 4.4</w:t>
            </w:r>
          </w:p>
        </w:tc>
        <w:tc>
          <w:tcPr>
            <w:tcW w:w="4535" w:type="dxa"/>
            <w:vAlign w:val="center"/>
          </w:tcPr>
          <w:p w:rsidR="00DA6260" w:rsidRDefault="00DA6260" w:rsidP="001E3670">
            <w:r>
              <w:t>I</w:t>
            </w:r>
            <w:r w:rsidR="001E3670">
              <w:t>nicijativa za izmjenu</w:t>
            </w:r>
            <w:r>
              <w:t xml:space="preserve"> Odluke o porezu na nepokretnosti</w:t>
            </w:r>
          </w:p>
        </w:tc>
        <w:tc>
          <w:tcPr>
            <w:tcW w:w="1426" w:type="dxa"/>
            <w:vAlign w:val="center"/>
          </w:tcPr>
          <w:p w:rsidR="00DA6260" w:rsidRDefault="00DA6260" w:rsidP="0042452E">
            <w:r>
              <w:t>-</w:t>
            </w:r>
          </w:p>
        </w:tc>
        <w:tc>
          <w:tcPr>
            <w:tcW w:w="1591" w:type="dxa"/>
            <w:tcBorders>
              <w:right w:val="single" w:sz="18" w:space="0" w:color="auto"/>
            </w:tcBorders>
          </w:tcPr>
          <w:p w:rsidR="00DA6260" w:rsidRDefault="00DA6260" w:rsidP="0042452E">
            <w:r>
              <w:t>-</w:t>
            </w:r>
          </w:p>
        </w:tc>
      </w:tr>
      <w:tr w:rsidR="00DA6260" w:rsidTr="00871417">
        <w:trPr>
          <w:trHeight w:val="427"/>
          <w:jc w:val="center"/>
        </w:trPr>
        <w:tc>
          <w:tcPr>
            <w:tcW w:w="1078" w:type="dxa"/>
            <w:tcBorders>
              <w:left w:val="single" w:sz="18" w:space="0" w:color="auto"/>
            </w:tcBorders>
            <w:shd w:val="clear" w:color="auto" w:fill="DAEEF3" w:themeFill="accent5" w:themeFillTint="33"/>
            <w:vAlign w:val="center"/>
          </w:tcPr>
          <w:p w:rsidR="00DA6260" w:rsidRDefault="00DA6260" w:rsidP="0042452E">
            <w:r>
              <w:t>EE 4.5</w:t>
            </w:r>
          </w:p>
        </w:tc>
        <w:tc>
          <w:tcPr>
            <w:tcW w:w="4535" w:type="dxa"/>
            <w:shd w:val="clear" w:color="auto" w:fill="DAEEF3" w:themeFill="accent5" w:themeFillTint="33"/>
            <w:vAlign w:val="center"/>
          </w:tcPr>
          <w:p w:rsidR="00DA6260" w:rsidRDefault="00DA6260" w:rsidP="0042452E">
            <w:r>
              <w:t>Dodjela ekosertifikata</w:t>
            </w:r>
          </w:p>
        </w:tc>
        <w:tc>
          <w:tcPr>
            <w:tcW w:w="1426" w:type="dxa"/>
            <w:shd w:val="clear" w:color="auto" w:fill="DAEEF3" w:themeFill="accent5" w:themeFillTint="33"/>
            <w:vAlign w:val="center"/>
          </w:tcPr>
          <w:p w:rsidR="00DA6260" w:rsidRDefault="00DA6260" w:rsidP="0042452E">
            <w:r>
              <w:t>1.000,00</w:t>
            </w:r>
          </w:p>
        </w:tc>
        <w:tc>
          <w:tcPr>
            <w:tcW w:w="1591" w:type="dxa"/>
            <w:tcBorders>
              <w:right w:val="single" w:sz="18" w:space="0" w:color="auto"/>
            </w:tcBorders>
            <w:shd w:val="clear" w:color="auto" w:fill="DAEEF3" w:themeFill="accent5" w:themeFillTint="33"/>
          </w:tcPr>
          <w:p w:rsidR="00DA6260" w:rsidRDefault="00DA6260" w:rsidP="0042452E">
            <w:r>
              <w:t>Turistička organizacija</w:t>
            </w:r>
          </w:p>
        </w:tc>
      </w:tr>
      <w:tr w:rsidR="00DA6260" w:rsidTr="00871417">
        <w:trPr>
          <w:trHeight w:val="450"/>
          <w:jc w:val="center"/>
        </w:trPr>
        <w:tc>
          <w:tcPr>
            <w:tcW w:w="1078" w:type="dxa"/>
            <w:tcBorders>
              <w:left w:val="single" w:sz="18" w:space="0" w:color="auto"/>
            </w:tcBorders>
            <w:shd w:val="clear" w:color="auto" w:fill="EAF1DD" w:themeFill="accent3" w:themeFillTint="33"/>
            <w:vAlign w:val="center"/>
          </w:tcPr>
          <w:p w:rsidR="00DA6260" w:rsidRDefault="00DA6260" w:rsidP="0042452E">
            <w:r>
              <w:t>EE 4.6</w:t>
            </w:r>
          </w:p>
        </w:tc>
        <w:tc>
          <w:tcPr>
            <w:tcW w:w="4535" w:type="dxa"/>
            <w:shd w:val="clear" w:color="auto" w:fill="EAF1DD" w:themeFill="accent3" w:themeFillTint="33"/>
            <w:vAlign w:val="center"/>
          </w:tcPr>
          <w:p w:rsidR="00DA6260" w:rsidRDefault="001E3670" w:rsidP="001E3670">
            <w:r>
              <w:t xml:space="preserve">Zamjena </w:t>
            </w:r>
            <w:r w:rsidR="00DA6260">
              <w:t xml:space="preserve"> bravarije u SMŠ „Mladost“</w:t>
            </w:r>
          </w:p>
        </w:tc>
        <w:tc>
          <w:tcPr>
            <w:tcW w:w="1426" w:type="dxa"/>
            <w:shd w:val="clear" w:color="auto" w:fill="EAF1DD" w:themeFill="accent3" w:themeFillTint="33"/>
            <w:vAlign w:val="center"/>
          </w:tcPr>
          <w:p w:rsidR="00DA6260" w:rsidRDefault="00DA6260" w:rsidP="0042452E">
            <w:r>
              <w:t>50.000,00</w:t>
            </w:r>
          </w:p>
        </w:tc>
        <w:tc>
          <w:tcPr>
            <w:tcW w:w="1591" w:type="dxa"/>
            <w:tcBorders>
              <w:right w:val="single" w:sz="18" w:space="0" w:color="auto"/>
            </w:tcBorders>
            <w:shd w:val="clear" w:color="auto" w:fill="EAF1DD" w:themeFill="accent3" w:themeFillTint="33"/>
          </w:tcPr>
          <w:p w:rsidR="00DA6260" w:rsidRDefault="00DA6260" w:rsidP="0042452E">
            <w:r>
              <w:t>Budžet Opštine</w:t>
            </w:r>
          </w:p>
        </w:tc>
      </w:tr>
      <w:tr w:rsidR="00DA6260" w:rsidTr="00871417">
        <w:trPr>
          <w:trHeight w:val="427"/>
          <w:jc w:val="center"/>
        </w:trPr>
        <w:tc>
          <w:tcPr>
            <w:tcW w:w="1078" w:type="dxa"/>
            <w:tcBorders>
              <w:left w:val="single" w:sz="18" w:space="0" w:color="auto"/>
              <w:bottom w:val="single" w:sz="18" w:space="0" w:color="auto"/>
            </w:tcBorders>
            <w:shd w:val="clear" w:color="auto" w:fill="EAF1DD" w:themeFill="accent3" w:themeFillTint="33"/>
            <w:vAlign w:val="center"/>
          </w:tcPr>
          <w:p w:rsidR="00DA6260" w:rsidRDefault="00DA6260" w:rsidP="0042452E">
            <w:r>
              <w:t>EE 4.7</w:t>
            </w:r>
          </w:p>
        </w:tc>
        <w:tc>
          <w:tcPr>
            <w:tcW w:w="4535" w:type="dxa"/>
            <w:tcBorders>
              <w:bottom w:val="single" w:sz="18" w:space="0" w:color="auto"/>
            </w:tcBorders>
            <w:shd w:val="clear" w:color="auto" w:fill="EAF1DD" w:themeFill="accent3" w:themeFillTint="33"/>
            <w:vAlign w:val="center"/>
          </w:tcPr>
          <w:p w:rsidR="00DA6260" w:rsidRDefault="00DA6260" w:rsidP="0042452E">
            <w:r>
              <w:t>Zamjena krova u OŠ „Branko Brinić“</w:t>
            </w:r>
          </w:p>
        </w:tc>
        <w:tc>
          <w:tcPr>
            <w:tcW w:w="1426" w:type="dxa"/>
            <w:tcBorders>
              <w:bottom w:val="single" w:sz="18" w:space="0" w:color="auto"/>
            </w:tcBorders>
            <w:shd w:val="clear" w:color="auto" w:fill="EAF1DD" w:themeFill="accent3" w:themeFillTint="33"/>
            <w:vAlign w:val="center"/>
          </w:tcPr>
          <w:p w:rsidR="00DA6260" w:rsidRDefault="00DA6260" w:rsidP="0042452E">
            <w:r>
              <w:t>40.000,00</w:t>
            </w:r>
          </w:p>
        </w:tc>
        <w:tc>
          <w:tcPr>
            <w:tcW w:w="1591" w:type="dxa"/>
            <w:tcBorders>
              <w:bottom w:val="single" w:sz="18" w:space="0" w:color="auto"/>
              <w:right w:val="single" w:sz="18" w:space="0" w:color="auto"/>
            </w:tcBorders>
            <w:shd w:val="clear" w:color="auto" w:fill="EAF1DD" w:themeFill="accent3" w:themeFillTint="33"/>
          </w:tcPr>
          <w:p w:rsidR="00DA6260" w:rsidRDefault="00DA6260" w:rsidP="0042452E">
            <w:r>
              <w:t>Budžet Opštine</w:t>
            </w:r>
          </w:p>
        </w:tc>
      </w:tr>
      <w:tr w:rsidR="00DA6260" w:rsidRPr="004D00F3" w:rsidTr="00871417">
        <w:trPr>
          <w:trHeight w:val="945"/>
          <w:jc w:val="center"/>
        </w:trPr>
        <w:tc>
          <w:tcPr>
            <w:tcW w:w="1078" w:type="dxa"/>
            <w:tcBorders>
              <w:top w:val="single" w:sz="18" w:space="0" w:color="auto"/>
              <w:left w:val="single" w:sz="18" w:space="0" w:color="auto"/>
              <w:bottom w:val="single" w:sz="18" w:space="0" w:color="auto"/>
            </w:tcBorders>
            <w:shd w:val="clear" w:color="auto" w:fill="F2F2F2" w:themeFill="background1" w:themeFillShade="F2"/>
            <w:vAlign w:val="center"/>
          </w:tcPr>
          <w:p w:rsidR="00DA6260" w:rsidRPr="004D00F3" w:rsidRDefault="00DA6260" w:rsidP="0042452E">
            <w:pPr>
              <w:rPr>
                <w:b/>
                <w:sz w:val="24"/>
              </w:rPr>
            </w:pPr>
            <w:r w:rsidRPr="004D00F3">
              <w:rPr>
                <w:b/>
                <w:sz w:val="24"/>
              </w:rPr>
              <w:t>EE5</w:t>
            </w:r>
          </w:p>
        </w:tc>
        <w:tc>
          <w:tcPr>
            <w:tcW w:w="4535" w:type="dxa"/>
            <w:tcBorders>
              <w:top w:val="single" w:sz="18" w:space="0" w:color="auto"/>
              <w:bottom w:val="single" w:sz="18" w:space="0" w:color="auto"/>
            </w:tcBorders>
            <w:shd w:val="clear" w:color="auto" w:fill="F2F2F2" w:themeFill="background1" w:themeFillShade="F2"/>
            <w:vAlign w:val="center"/>
          </w:tcPr>
          <w:p w:rsidR="00DA6260" w:rsidRPr="004D00F3" w:rsidRDefault="00DA6260" w:rsidP="0042452E">
            <w:pPr>
              <w:rPr>
                <w:b/>
                <w:sz w:val="24"/>
              </w:rPr>
            </w:pPr>
            <w:r w:rsidRPr="004D00F3">
              <w:rPr>
                <w:b/>
                <w:sz w:val="24"/>
              </w:rPr>
              <w:t>Mjere energetske efikasnosti u sistemu vodosnabdijevanja</w:t>
            </w:r>
          </w:p>
        </w:tc>
        <w:tc>
          <w:tcPr>
            <w:tcW w:w="1426" w:type="dxa"/>
            <w:tcBorders>
              <w:top w:val="single" w:sz="18" w:space="0" w:color="auto"/>
              <w:bottom w:val="single" w:sz="18" w:space="0" w:color="auto"/>
            </w:tcBorders>
            <w:shd w:val="clear" w:color="auto" w:fill="F2F2F2" w:themeFill="background1" w:themeFillShade="F2"/>
            <w:vAlign w:val="center"/>
          </w:tcPr>
          <w:p w:rsidR="00DA6260" w:rsidRPr="004D00F3" w:rsidRDefault="00E117CC" w:rsidP="0042452E">
            <w:pPr>
              <w:rPr>
                <w:b/>
                <w:sz w:val="24"/>
              </w:rPr>
            </w:pPr>
            <w:r>
              <w:rPr>
                <w:b/>
                <w:sz w:val="24"/>
              </w:rPr>
              <w:t>15.000,00</w:t>
            </w:r>
          </w:p>
        </w:tc>
        <w:tc>
          <w:tcPr>
            <w:tcW w:w="1591" w:type="dxa"/>
            <w:tcBorders>
              <w:top w:val="single" w:sz="18" w:space="0" w:color="auto"/>
              <w:bottom w:val="single" w:sz="18" w:space="0" w:color="auto"/>
              <w:right w:val="single" w:sz="18" w:space="0" w:color="auto"/>
            </w:tcBorders>
            <w:shd w:val="clear" w:color="auto" w:fill="F2F2F2" w:themeFill="background1" w:themeFillShade="F2"/>
          </w:tcPr>
          <w:p w:rsidR="00DA6260" w:rsidRPr="004D00F3" w:rsidRDefault="00DA6260" w:rsidP="0042452E">
            <w:pPr>
              <w:rPr>
                <w:b/>
                <w:sz w:val="24"/>
              </w:rPr>
            </w:pPr>
          </w:p>
        </w:tc>
      </w:tr>
      <w:tr w:rsidR="00DA6260" w:rsidTr="00871417">
        <w:trPr>
          <w:trHeight w:val="450"/>
          <w:jc w:val="center"/>
        </w:trPr>
        <w:tc>
          <w:tcPr>
            <w:tcW w:w="1078" w:type="dxa"/>
            <w:tcBorders>
              <w:top w:val="single" w:sz="18" w:space="0" w:color="auto"/>
              <w:left w:val="single" w:sz="18" w:space="0" w:color="auto"/>
              <w:bottom w:val="single" w:sz="18" w:space="0" w:color="auto"/>
            </w:tcBorders>
            <w:shd w:val="clear" w:color="auto" w:fill="DAEEF3" w:themeFill="accent5" w:themeFillTint="33"/>
            <w:vAlign w:val="center"/>
          </w:tcPr>
          <w:p w:rsidR="00DA6260" w:rsidRDefault="00DA6260" w:rsidP="0042452E">
            <w:r>
              <w:t>EE 5.1</w:t>
            </w:r>
          </w:p>
        </w:tc>
        <w:tc>
          <w:tcPr>
            <w:tcW w:w="4535" w:type="dxa"/>
            <w:tcBorders>
              <w:top w:val="single" w:sz="18" w:space="0" w:color="auto"/>
              <w:bottom w:val="single" w:sz="18" w:space="0" w:color="auto"/>
            </w:tcBorders>
            <w:shd w:val="clear" w:color="auto" w:fill="DAEEF3" w:themeFill="accent5" w:themeFillTint="33"/>
            <w:vAlign w:val="center"/>
          </w:tcPr>
          <w:p w:rsidR="00DA6260" w:rsidRDefault="00DA6260" w:rsidP="0042452E">
            <w:r>
              <w:t>Modernizacija sistema vodosnabdijevanja</w:t>
            </w:r>
          </w:p>
        </w:tc>
        <w:tc>
          <w:tcPr>
            <w:tcW w:w="1426" w:type="dxa"/>
            <w:tcBorders>
              <w:top w:val="single" w:sz="18" w:space="0" w:color="auto"/>
              <w:bottom w:val="single" w:sz="18" w:space="0" w:color="auto"/>
            </w:tcBorders>
            <w:shd w:val="clear" w:color="auto" w:fill="DAEEF3" w:themeFill="accent5" w:themeFillTint="33"/>
            <w:vAlign w:val="center"/>
          </w:tcPr>
          <w:p w:rsidR="00DA6260" w:rsidRDefault="00E117CC" w:rsidP="0042452E">
            <w:r>
              <w:t>15.000,00</w:t>
            </w:r>
          </w:p>
        </w:tc>
        <w:tc>
          <w:tcPr>
            <w:tcW w:w="1591" w:type="dxa"/>
            <w:tcBorders>
              <w:top w:val="single" w:sz="18" w:space="0" w:color="auto"/>
              <w:bottom w:val="single" w:sz="18" w:space="0" w:color="auto"/>
              <w:right w:val="single" w:sz="18" w:space="0" w:color="auto"/>
            </w:tcBorders>
            <w:shd w:val="clear" w:color="auto" w:fill="DAEEF3" w:themeFill="accent5" w:themeFillTint="33"/>
          </w:tcPr>
          <w:p w:rsidR="00DA6260" w:rsidRDefault="00DA6260" w:rsidP="00AF701D">
            <w:r>
              <w:t>Vodovod i kanalizacija d.o.o.</w:t>
            </w:r>
          </w:p>
        </w:tc>
      </w:tr>
      <w:tr w:rsidR="00475903" w:rsidTr="00871417">
        <w:trPr>
          <w:trHeight w:val="495"/>
          <w:jc w:val="center"/>
        </w:trPr>
        <w:tc>
          <w:tcPr>
            <w:tcW w:w="5613"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475903" w:rsidRPr="00A11361" w:rsidRDefault="00475903" w:rsidP="00475903">
            <w:pPr>
              <w:jc w:val="right"/>
              <w:rPr>
                <w:b/>
              </w:rPr>
            </w:pPr>
            <w:r w:rsidRPr="00475903">
              <w:rPr>
                <w:b/>
                <w:sz w:val="24"/>
              </w:rPr>
              <w:t>UKUPNO:</w:t>
            </w:r>
          </w:p>
        </w:tc>
        <w:tc>
          <w:tcPr>
            <w:tcW w:w="1426" w:type="dxa"/>
            <w:tcBorders>
              <w:top w:val="single" w:sz="18" w:space="0" w:color="auto"/>
              <w:bottom w:val="single" w:sz="18" w:space="0" w:color="auto"/>
            </w:tcBorders>
            <w:shd w:val="clear" w:color="auto" w:fill="D9D9D9" w:themeFill="background1" w:themeFillShade="D9"/>
            <w:vAlign w:val="center"/>
          </w:tcPr>
          <w:p w:rsidR="00475903" w:rsidRPr="00430006" w:rsidRDefault="000C4C36" w:rsidP="000C4C36">
            <w:pPr>
              <w:rPr>
                <w:b/>
                <w:sz w:val="24"/>
              </w:rPr>
            </w:pPr>
            <w:r>
              <w:rPr>
                <w:b/>
                <w:sz w:val="24"/>
              </w:rPr>
              <w:t>548.073,21</w:t>
            </w:r>
          </w:p>
        </w:tc>
        <w:tc>
          <w:tcPr>
            <w:tcW w:w="1591" w:type="dxa"/>
            <w:tcBorders>
              <w:top w:val="single" w:sz="18" w:space="0" w:color="auto"/>
              <w:bottom w:val="single" w:sz="18" w:space="0" w:color="auto"/>
              <w:right w:val="single" w:sz="18" w:space="0" w:color="auto"/>
            </w:tcBorders>
            <w:shd w:val="clear" w:color="auto" w:fill="D9D9D9" w:themeFill="background1" w:themeFillShade="D9"/>
          </w:tcPr>
          <w:p w:rsidR="00475903" w:rsidRPr="00430006" w:rsidRDefault="00475903" w:rsidP="0042452E">
            <w:pPr>
              <w:rPr>
                <w:b/>
                <w:sz w:val="24"/>
              </w:rPr>
            </w:pPr>
          </w:p>
        </w:tc>
      </w:tr>
    </w:tbl>
    <w:p w:rsidR="00A179E9" w:rsidRDefault="00A179E9" w:rsidP="00E036C0">
      <w:pPr>
        <w:ind w:left="360"/>
        <w:jc w:val="both"/>
        <w:rPr>
          <w:sz w:val="24"/>
          <w:szCs w:val="24"/>
        </w:rPr>
      </w:pPr>
    </w:p>
    <w:p w:rsidR="001E3670" w:rsidRPr="009A0495" w:rsidRDefault="003331FC" w:rsidP="009A0495">
      <w:pPr>
        <w:jc w:val="both"/>
        <w:rPr>
          <w:sz w:val="24"/>
          <w:szCs w:val="24"/>
        </w:rPr>
      </w:pPr>
      <w:r w:rsidRPr="009A0495">
        <w:rPr>
          <w:sz w:val="24"/>
          <w:szCs w:val="24"/>
        </w:rPr>
        <w:t xml:space="preserve">Potrebno je naglasiti da iznos sredstava za  </w:t>
      </w:r>
      <w:r w:rsidR="001E3670" w:rsidRPr="009A0495">
        <w:rPr>
          <w:sz w:val="24"/>
          <w:szCs w:val="24"/>
        </w:rPr>
        <w:t xml:space="preserve">izradu geografskog informacionog sistema (GIS) javne rasvjete  ( </w:t>
      </w:r>
      <w:r w:rsidR="001E3670" w:rsidRPr="009A0495">
        <w:rPr>
          <w:rFonts w:ascii="Times New Roman" w:hAnsi="Times New Roman" w:cs="Times New Roman"/>
          <w:sz w:val="24"/>
          <w:szCs w:val="24"/>
        </w:rPr>
        <w:t>13.566,00€)  nije realizovan u 2017. godini  obzirom da je ugovor potpisan tek krajem 2017 godinem, to se završetak navedene usluge očekuje u 2018 godini.</w:t>
      </w:r>
    </w:p>
    <w:p w:rsidR="00E036C0" w:rsidRPr="00E036C0" w:rsidRDefault="00E036C0" w:rsidP="00E036C0">
      <w:pPr>
        <w:ind w:left="360"/>
        <w:jc w:val="both"/>
        <w:rPr>
          <w:b/>
          <w:sz w:val="24"/>
          <w:szCs w:val="24"/>
        </w:rPr>
      </w:pPr>
      <w:r>
        <w:rPr>
          <w:b/>
          <w:sz w:val="24"/>
          <w:szCs w:val="24"/>
        </w:rPr>
        <w:t>Tabela 4.</w:t>
      </w:r>
      <w:r w:rsidR="00D53897">
        <w:rPr>
          <w:b/>
          <w:sz w:val="24"/>
          <w:szCs w:val="24"/>
        </w:rPr>
        <w:t>2</w:t>
      </w:r>
      <w:r>
        <w:rPr>
          <w:b/>
          <w:sz w:val="24"/>
          <w:szCs w:val="24"/>
        </w:rPr>
        <w:t>. Procjenjeni troškovi za realizaciju Plana</w:t>
      </w:r>
      <w:r w:rsidR="00D53897">
        <w:rPr>
          <w:b/>
          <w:sz w:val="24"/>
          <w:szCs w:val="24"/>
        </w:rPr>
        <w:t xml:space="preserve"> po grupama mjera EE</w:t>
      </w:r>
    </w:p>
    <w:tbl>
      <w:tblPr>
        <w:tblStyle w:val="TableGrid"/>
        <w:tblW w:w="0" w:type="auto"/>
        <w:jc w:val="center"/>
        <w:tblLook w:val="04A0" w:firstRow="1" w:lastRow="0" w:firstColumn="1" w:lastColumn="0" w:noHBand="0" w:noVBand="1"/>
      </w:tblPr>
      <w:tblGrid>
        <w:gridCol w:w="500"/>
        <w:gridCol w:w="2506"/>
        <w:gridCol w:w="2268"/>
        <w:gridCol w:w="3286"/>
      </w:tblGrid>
      <w:tr w:rsidR="00F27EBA" w:rsidTr="00475903">
        <w:trPr>
          <w:jc w:val="center"/>
        </w:trPr>
        <w:tc>
          <w:tcPr>
            <w:tcW w:w="5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27EBA" w:rsidRDefault="00F27EBA" w:rsidP="00B8196F">
            <w:pPr>
              <w:jc w:val="both"/>
              <w:rPr>
                <w:b/>
                <w:sz w:val="24"/>
                <w:szCs w:val="24"/>
              </w:rPr>
            </w:pPr>
            <w:r>
              <w:rPr>
                <w:b/>
                <w:sz w:val="24"/>
                <w:szCs w:val="24"/>
              </w:rPr>
              <w:t>Br.</w:t>
            </w:r>
          </w:p>
        </w:tc>
        <w:tc>
          <w:tcPr>
            <w:tcW w:w="25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27EBA" w:rsidRDefault="00F27EBA" w:rsidP="00B8196F">
            <w:pPr>
              <w:jc w:val="both"/>
              <w:rPr>
                <w:b/>
                <w:sz w:val="24"/>
                <w:szCs w:val="24"/>
              </w:rPr>
            </w:pPr>
            <w:r>
              <w:rPr>
                <w:b/>
                <w:sz w:val="24"/>
                <w:szCs w:val="24"/>
              </w:rPr>
              <w:t>Mjera poboljšanja energetske efikasnosti (ili grupa mjera)</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27EBA" w:rsidRDefault="00F27EBA" w:rsidP="00B8196F">
            <w:pPr>
              <w:jc w:val="both"/>
              <w:rPr>
                <w:b/>
                <w:sz w:val="24"/>
                <w:szCs w:val="24"/>
              </w:rPr>
            </w:pPr>
            <w:r>
              <w:rPr>
                <w:b/>
                <w:sz w:val="24"/>
                <w:szCs w:val="24"/>
              </w:rPr>
              <w:t>Procijenjeni investicioni troškovi (</w:t>
            </w:r>
            <w:r>
              <w:rPr>
                <w:rFonts w:cstheme="minorHAnsi"/>
                <w:b/>
                <w:sz w:val="24"/>
                <w:szCs w:val="24"/>
              </w:rPr>
              <w:t>€</w:t>
            </w:r>
            <w:r>
              <w:rPr>
                <w:b/>
                <w:sz w:val="24"/>
                <w:szCs w:val="24"/>
              </w:rPr>
              <w:t>)</w:t>
            </w:r>
          </w:p>
        </w:tc>
        <w:tc>
          <w:tcPr>
            <w:tcW w:w="328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27EBA" w:rsidRDefault="00F27EBA" w:rsidP="00B8196F">
            <w:pPr>
              <w:jc w:val="both"/>
              <w:rPr>
                <w:b/>
                <w:sz w:val="24"/>
                <w:szCs w:val="24"/>
              </w:rPr>
            </w:pPr>
            <w:r>
              <w:rPr>
                <w:b/>
                <w:sz w:val="24"/>
                <w:szCs w:val="24"/>
              </w:rPr>
              <w:t>Očekivane uštede energije u pogledu troškova (</w:t>
            </w:r>
            <w:r>
              <w:rPr>
                <w:rFonts w:cstheme="minorHAnsi"/>
                <w:b/>
                <w:sz w:val="24"/>
                <w:szCs w:val="24"/>
              </w:rPr>
              <w:t>€/god)</w:t>
            </w:r>
          </w:p>
        </w:tc>
      </w:tr>
      <w:tr w:rsidR="00F27EBA" w:rsidRPr="00C87EA3" w:rsidTr="00D53897">
        <w:trPr>
          <w:jc w:val="center"/>
        </w:trPr>
        <w:tc>
          <w:tcPr>
            <w:tcW w:w="500" w:type="dxa"/>
            <w:tcBorders>
              <w:top w:val="single" w:sz="12" w:space="0" w:color="auto"/>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1.</w:t>
            </w:r>
          </w:p>
        </w:tc>
        <w:tc>
          <w:tcPr>
            <w:tcW w:w="2506" w:type="dxa"/>
            <w:tcBorders>
              <w:top w:val="single" w:sz="12" w:space="0" w:color="auto"/>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Grupa mjera EE1</w:t>
            </w:r>
          </w:p>
        </w:tc>
        <w:tc>
          <w:tcPr>
            <w:tcW w:w="2268" w:type="dxa"/>
            <w:tcBorders>
              <w:top w:val="single" w:sz="12" w:space="0" w:color="auto"/>
              <w:left w:val="single" w:sz="12" w:space="0" w:color="auto"/>
              <w:right w:val="single" w:sz="12" w:space="0" w:color="auto"/>
            </w:tcBorders>
            <w:vAlign w:val="center"/>
          </w:tcPr>
          <w:p w:rsidR="00F27EBA" w:rsidRPr="00F43A1D" w:rsidRDefault="00DA6260" w:rsidP="00B8196F">
            <w:pPr>
              <w:rPr>
                <w:sz w:val="24"/>
                <w:szCs w:val="24"/>
              </w:rPr>
            </w:pPr>
            <w:r>
              <w:rPr>
                <w:sz w:val="24"/>
                <w:szCs w:val="24"/>
              </w:rPr>
              <w:t>9</w:t>
            </w:r>
            <w:r w:rsidR="00656487">
              <w:rPr>
                <w:sz w:val="24"/>
                <w:szCs w:val="24"/>
              </w:rPr>
              <w:t>.000</w:t>
            </w:r>
            <w:r w:rsidR="00F27EBA" w:rsidRPr="00F43A1D">
              <w:rPr>
                <w:sz w:val="24"/>
                <w:szCs w:val="24"/>
              </w:rPr>
              <w:t>,00</w:t>
            </w:r>
          </w:p>
        </w:tc>
        <w:tc>
          <w:tcPr>
            <w:tcW w:w="3286" w:type="dxa"/>
            <w:tcBorders>
              <w:top w:val="single" w:sz="12" w:space="0" w:color="auto"/>
              <w:left w:val="single" w:sz="12" w:space="0" w:color="auto"/>
              <w:right w:val="single" w:sz="12" w:space="0" w:color="auto"/>
            </w:tcBorders>
          </w:tcPr>
          <w:p w:rsidR="00F27EBA" w:rsidRDefault="009F4416" w:rsidP="00B8196F">
            <w:pPr>
              <w:rPr>
                <w:sz w:val="24"/>
                <w:szCs w:val="24"/>
              </w:rPr>
            </w:pPr>
            <w:r>
              <w:rPr>
                <w:sz w:val="24"/>
                <w:szCs w:val="24"/>
              </w:rPr>
              <w:t>-</w:t>
            </w:r>
          </w:p>
        </w:tc>
      </w:tr>
      <w:tr w:rsidR="00F27EBA" w:rsidRPr="00C87EA3" w:rsidTr="00D53897">
        <w:trPr>
          <w:jc w:val="center"/>
        </w:trPr>
        <w:tc>
          <w:tcPr>
            <w:tcW w:w="500" w:type="dxa"/>
            <w:tcBorders>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2.</w:t>
            </w:r>
          </w:p>
        </w:tc>
        <w:tc>
          <w:tcPr>
            <w:tcW w:w="2506" w:type="dxa"/>
            <w:tcBorders>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Grupa mjera EE2</w:t>
            </w:r>
          </w:p>
        </w:tc>
        <w:tc>
          <w:tcPr>
            <w:tcW w:w="2268" w:type="dxa"/>
            <w:tcBorders>
              <w:left w:val="single" w:sz="12" w:space="0" w:color="auto"/>
              <w:right w:val="single" w:sz="12" w:space="0" w:color="auto"/>
            </w:tcBorders>
            <w:vAlign w:val="center"/>
          </w:tcPr>
          <w:p w:rsidR="00F27EBA" w:rsidRPr="00C87EA3" w:rsidRDefault="00656487" w:rsidP="009A0495">
            <w:pPr>
              <w:rPr>
                <w:sz w:val="24"/>
                <w:szCs w:val="24"/>
              </w:rPr>
            </w:pPr>
            <w:r>
              <w:rPr>
                <w:sz w:val="24"/>
                <w:szCs w:val="24"/>
              </w:rPr>
              <w:t>2</w:t>
            </w:r>
            <w:r w:rsidR="009A0495">
              <w:rPr>
                <w:sz w:val="24"/>
                <w:szCs w:val="24"/>
              </w:rPr>
              <w:t>35</w:t>
            </w:r>
            <w:r w:rsidR="00DA6260">
              <w:rPr>
                <w:sz w:val="24"/>
                <w:szCs w:val="24"/>
              </w:rPr>
              <w:t>.073,21</w:t>
            </w:r>
          </w:p>
        </w:tc>
        <w:tc>
          <w:tcPr>
            <w:tcW w:w="3286" w:type="dxa"/>
            <w:tcBorders>
              <w:left w:val="single" w:sz="12" w:space="0" w:color="auto"/>
              <w:right w:val="single" w:sz="12" w:space="0" w:color="auto"/>
            </w:tcBorders>
          </w:tcPr>
          <w:p w:rsidR="00F27EBA" w:rsidRPr="00C87EA3" w:rsidRDefault="00226249" w:rsidP="00B8196F">
            <w:pPr>
              <w:rPr>
                <w:sz w:val="24"/>
                <w:szCs w:val="24"/>
              </w:rPr>
            </w:pPr>
            <w:r>
              <w:rPr>
                <w:sz w:val="24"/>
                <w:szCs w:val="24"/>
              </w:rPr>
              <w:t>5</w:t>
            </w:r>
            <w:r w:rsidR="00E117CC">
              <w:rPr>
                <w:sz w:val="24"/>
                <w:szCs w:val="24"/>
              </w:rPr>
              <w:t>.</w:t>
            </w:r>
            <w:r w:rsidR="00F27EBA">
              <w:rPr>
                <w:sz w:val="24"/>
                <w:szCs w:val="24"/>
              </w:rPr>
              <w:t>000,00</w:t>
            </w:r>
          </w:p>
        </w:tc>
      </w:tr>
      <w:tr w:rsidR="00F27EBA" w:rsidRPr="00C87EA3" w:rsidTr="00D53897">
        <w:trPr>
          <w:jc w:val="center"/>
        </w:trPr>
        <w:tc>
          <w:tcPr>
            <w:tcW w:w="500" w:type="dxa"/>
            <w:tcBorders>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3.</w:t>
            </w:r>
          </w:p>
        </w:tc>
        <w:tc>
          <w:tcPr>
            <w:tcW w:w="2506" w:type="dxa"/>
            <w:tcBorders>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Grupa mjera EE3</w:t>
            </w:r>
          </w:p>
        </w:tc>
        <w:tc>
          <w:tcPr>
            <w:tcW w:w="2268" w:type="dxa"/>
            <w:tcBorders>
              <w:left w:val="single" w:sz="12" w:space="0" w:color="auto"/>
              <w:right w:val="single" w:sz="12" w:space="0" w:color="auto"/>
            </w:tcBorders>
            <w:vAlign w:val="center"/>
          </w:tcPr>
          <w:p w:rsidR="00F27EBA" w:rsidRPr="00C87EA3" w:rsidRDefault="00656487" w:rsidP="00B8196F">
            <w:pPr>
              <w:rPr>
                <w:sz w:val="24"/>
                <w:szCs w:val="24"/>
              </w:rPr>
            </w:pPr>
            <w:r>
              <w:rPr>
                <w:sz w:val="24"/>
                <w:szCs w:val="24"/>
              </w:rPr>
              <w:t>180.000</w:t>
            </w:r>
            <w:r w:rsidR="0008176B" w:rsidRPr="00F43A1D">
              <w:rPr>
                <w:sz w:val="24"/>
                <w:szCs w:val="24"/>
              </w:rPr>
              <w:t>,00</w:t>
            </w:r>
          </w:p>
        </w:tc>
        <w:tc>
          <w:tcPr>
            <w:tcW w:w="3286" w:type="dxa"/>
            <w:tcBorders>
              <w:left w:val="single" w:sz="12" w:space="0" w:color="auto"/>
              <w:right w:val="single" w:sz="12" w:space="0" w:color="auto"/>
            </w:tcBorders>
          </w:tcPr>
          <w:p w:rsidR="00F27EBA" w:rsidRPr="00C87EA3" w:rsidRDefault="00656487" w:rsidP="00B8196F">
            <w:pPr>
              <w:rPr>
                <w:sz w:val="24"/>
                <w:szCs w:val="24"/>
              </w:rPr>
            </w:pPr>
            <w:r>
              <w:rPr>
                <w:sz w:val="24"/>
                <w:szCs w:val="24"/>
              </w:rPr>
              <w:t>2</w:t>
            </w:r>
            <w:r w:rsidR="00E117CC">
              <w:rPr>
                <w:sz w:val="24"/>
                <w:szCs w:val="24"/>
              </w:rPr>
              <w:t>.</w:t>
            </w:r>
            <w:r w:rsidR="00F27EBA">
              <w:rPr>
                <w:sz w:val="24"/>
                <w:szCs w:val="24"/>
              </w:rPr>
              <w:t>000,00</w:t>
            </w:r>
          </w:p>
        </w:tc>
      </w:tr>
      <w:tr w:rsidR="00F27EBA" w:rsidRPr="00C87EA3" w:rsidTr="00D53897">
        <w:trPr>
          <w:jc w:val="center"/>
        </w:trPr>
        <w:tc>
          <w:tcPr>
            <w:tcW w:w="500" w:type="dxa"/>
            <w:tcBorders>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4.</w:t>
            </w:r>
          </w:p>
        </w:tc>
        <w:tc>
          <w:tcPr>
            <w:tcW w:w="2506" w:type="dxa"/>
            <w:tcBorders>
              <w:left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Grupa mjera EE4</w:t>
            </w:r>
          </w:p>
        </w:tc>
        <w:tc>
          <w:tcPr>
            <w:tcW w:w="2268" w:type="dxa"/>
            <w:tcBorders>
              <w:left w:val="single" w:sz="12" w:space="0" w:color="auto"/>
              <w:right w:val="single" w:sz="12" w:space="0" w:color="auto"/>
            </w:tcBorders>
            <w:vAlign w:val="center"/>
          </w:tcPr>
          <w:p w:rsidR="00F27EBA" w:rsidRPr="00C87EA3" w:rsidRDefault="00656487" w:rsidP="00DA6260">
            <w:pPr>
              <w:rPr>
                <w:sz w:val="24"/>
                <w:szCs w:val="24"/>
              </w:rPr>
            </w:pPr>
            <w:r>
              <w:rPr>
                <w:sz w:val="24"/>
                <w:szCs w:val="24"/>
              </w:rPr>
              <w:t>1</w:t>
            </w:r>
            <w:r w:rsidR="00DA6260">
              <w:rPr>
                <w:sz w:val="24"/>
                <w:szCs w:val="24"/>
              </w:rPr>
              <w:t>0</w:t>
            </w:r>
            <w:r>
              <w:rPr>
                <w:sz w:val="24"/>
                <w:szCs w:val="24"/>
              </w:rPr>
              <w:t>4.000</w:t>
            </w:r>
            <w:r w:rsidR="0008176B">
              <w:rPr>
                <w:sz w:val="24"/>
                <w:szCs w:val="24"/>
              </w:rPr>
              <w:t>,00</w:t>
            </w:r>
          </w:p>
        </w:tc>
        <w:tc>
          <w:tcPr>
            <w:tcW w:w="3286" w:type="dxa"/>
            <w:tcBorders>
              <w:left w:val="single" w:sz="12" w:space="0" w:color="auto"/>
              <w:right w:val="single" w:sz="12" w:space="0" w:color="auto"/>
            </w:tcBorders>
          </w:tcPr>
          <w:p w:rsidR="00F27EBA" w:rsidRPr="00C87EA3" w:rsidRDefault="009F4416" w:rsidP="00B8196F">
            <w:pPr>
              <w:rPr>
                <w:sz w:val="24"/>
                <w:szCs w:val="24"/>
              </w:rPr>
            </w:pPr>
            <w:r>
              <w:rPr>
                <w:sz w:val="24"/>
                <w:szCs w:val="24"/>
              </w:rPr>
              <w:t>-</w:t>
            </w:r>
          </w:p>
        </w:tc>
      </w:tr>
      <w:tr w:rsidR="00F27EBA" w:rsidRPr="00C87EA3" w:rsidTr="00D53897">
        <w:trPr>
          <w:jc w:val="center"/>
        </w:trPr>
        <w:tc>
          <w:tcPr>
            <w:tcW w:w="500" w:type="dxa"/>
            <w:tcBorders>
              <w:left w:val="single" w:sz="12" w:space="0" w:color="auto"/>
              <w:bottom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5.</w:t>
            </w:r>
          </w:p>
        </w:tc>
        <w:tc>
          <w:tcPr>
            <w:tcW w:w="2506" w:type="dxa"/>
            <w:tcBorders>
              <w:left w:val="single" w:sz="12" w:space="0" w:color="auto"/>
              <w:bottom w:val="single" w:sz="12" w:space="0" w:color="auto"/>
              <w:right w:val="single" w:sz="12" w:space="0" w:color="auto"/>
            </w:tcBorders>
            <w:vAlign w:val="center"/>
          </w:tcPr>
          <w:p w:rsidR="00F27EBA" w:rsidRPr="00C87EA3" w:rsidRDefault="00F27EBA" w:rsidP="00B8196F">
            <w:pPr>
              <w:rPr>
                <w:sz w:val="24"/>
                <w:szCs w:val="24"/>
              </w:rPr>
            </w:pPr>
            <w:r w:rsidRPr="00C87EA3">
              <w:rPr>
                <w:sz w:val="24"/>
                <w:szCs w:val="24"/>
              </w:rPr>
              <w:t>Grupa mjera EE5</w:t>
            </w:r>
          </w:p>
        </w:tc>
        <w:tc>
          <w:tcPr>
            <w:tcW w:w="2268" w:type="dxa"/>
            <w:tcBorders>
              <w:left w:val="single" w:sz="12" w:space="0" w:color="auto"/>
              <w:bottom w:val="single" w:sz="12" w:space="0" w:color="auto"/>
              <w:right w:val="single" w:sz="12" w:space="0" w:color="auto"/>
            </w:tcBorders>
            <w:vAlign w:val="center"/>
          </w:tcPr>
          <w:p w:rsidR="00F27EBA" w:rsidRPr="00C87EA3" w:rsidRDefault="00E117CC" w:rsidP="00B8196F">
            <w:pPr>
              <w:rPr>
                <w:sz w:val="24"/>
                <w:szCs w:val="24"/>
              </w:rPr>
            </w:pPr>
            <w:r>
              <w:rPr>
                <w:sz w:val="24"/>
                <w:szCs w:val="24"/>
              </w:rPr>
              <w:t>15.000,00</w:t>
            </w:r>
          </w:p>
        </w:tc>
        <w:tc>
          <w:tcPr>
            <w:tcW w:w="3286" w:type="dxa"/>
            <w:tcBorders>
              <w:left w:val="single" w:sz="12" w:space="0" w:color="auto"/>
              <w:bottom w:val="single" w:sz="12" w:space="0" w:color="auto"/>
              <w:right w:val="single" w:sz="12" w:space="0" w:color="auto"/>
            </w:tcBorders>
          </w:tcPr>
          <w:p w:rsidR="00F27EBA" w:rsidRPr="00C87EA3" w:rsidRDefault="00E117CC" w:rsidP="00B8196F">
            <w:pPr>
              <w:rPr>
                <w:sz w:val="24"/>
                <w:szCs w:val="24"/>
              </w:rPr>
            </w:pPr>
            <w:r>
              <w:rPr>
                <w:sz w:val="24"/>
                <w:szCs w:val="24"/>
              </w:rPr>
              <w:t>2.</w:t>
            </w:r>
            <w:r w:rsidR="00F27EBA">
              <w:rPr>
                <w:sz w:val="24"/>
                <w:szCs w:val="24"/>
              </w:rPr>
              <w:t>000,00</w:t>
            </w:r>
          </w:p>
        </w:tc>
      </w:tr>
      <w:tr w:rsidR="00F27EBA" w:rsidRPr="00C87EA3" w:rsidTr="00D53897">
        <w:trPr>
          <w:jc w:val="center"/>
        </w:trPr>
        <w:tc>
          <w:tcPr>
            <w:tcW w:w="3006" w:type="dxa"/>
            <w:gridSpan w:val="2"/>
            <w:tcBorders>
              <w:top w:val="single" w:sz="12" w:space="0" w:color="auto"/>
              <w:left w:val="single" w:sz="12" w:space="0" w:color="auto"/>
              <w:bottom w:val="single" w:sz="12" w:space="0" w:color="auto"/>
              <w:right w:val="single" w:sz="12" w:space="0" w:color="auto"/>
            </w:tcBorders>
            <w:vAlign w:val="center"/>
          </w:tcPr>
          <w:p w:rsidR="00F27EBA" w:rsidRPr="00D53897" w:rsidRDefault="00F27EBA" w:rsidP="00D53897">
            <w:pPr>
              <w:jc w:val="right"/>
              <w:rPr>
                <w:b/>
                <w:sz w:val="24"/>
                <w:szCs w:val="24"/>
              </w:rPr>
            </w:pPr>
            <w:r w:rsidRPr="00D53897">
              <w:rPr>
                <w:b/>
                <w:sz w:val="24"/>
                <w:szCs w:val="24"/>
              </w:rPr>
              <w:t>UKUPNO:</w:t>
            </w:r>
          </w:p>
        </w:tc>
        <w:tc>
          <w:tcPr>
            <w:tcW w:w="2268" w:type="dxa"/>
            <w:tcBorders>
              <w:top w:val="single" w:sz="12" w:space="0" w:color="auto"/>
              <w:left w:val="single" w:sz="12" w:space="0" w:color="auto"/>
              <w:bottom w:val="single" w:sz="12" w:space="0" w:color="auto"/>
              <w:right w:val="single" w:sz="12" w:space="0" w:color="auto"/>
            </w:tcBorders>
            <w:vAlign w:val="center"/>
          </w:tcPr>
          <w:p w:rsidR="00F27EBA" w:rsidRPr="00226249" w:rsidRDefault="00C353B0" w:rsidP="009A0495">
            <w:pPr>
              <w:rPr>
                <w:b/>
                <w:sz w:val="24"/>
                <w:szCs w:val="24"/>
              </w:rPr>
            </w:pPr>
            <w:r>
              <w:rPr>
                <w:b/>
                <w:sz w:val="24"/>
                <w:szCs w:val="24"/>
              </w:rPr>
              <w:t>5</w:t>
            </w:r>
            <w:r w:rsidR="009A0495">
              <w:rPr>
                <w:b/>
                <w:sz w:val="24"/>
                <w:szCs w:val="24"/>
              </w:rPr>
              <w:t>48</w:t>
            </w:r>
            <w:r>
              <w:rPr>
                <w:b/>
                <w:sz w:val="24"/>
                <w:szCs w:val="24"/>
              </w:rPr>
              <w:t>.073,21</w:t>
            </w:r>
          </w:p>
        </w:tc>
        <w:tc>
          <w:tcPr>
            <w:tcW w:w="3286" w:type="dxa"/>
            <w:tcBorders>
              <w:top w:val="single" w:sz="12" w:space="0" w:color="auto"/>
              <w:left w:val="single" w:sz="12" w:space="0" w:color="auto"/>
              <w:bottom w:val="single" w:sz="12" w:space="0" w:color="auto"/>
              <w:right w:val="single" w:sz="12" w:space="0" w:color="auto"/>
            </w:tcBorders>
          </w:tcPr>
          <w:p w:rsidR="00F27EBA" w:rsidRPr="00D53897" w:rsidRDefault="00E117CC" w:rsidP="00226249">
            <w:pPr>
              <w:rPr>
                <w:b/>
                <w:sz w:val="24"/>
                <w:szCs w:val="24"/>
              </w:rPr>
            </w:pPr>
            <w:r w:rsidRPr="00D53897">
              <w:rPr>
                <w:b/>
                <w:sz w:val="24"/>
                <w:szCs w:val="24"/>
              </w:rPr>
              <w:t>9.</w:t>
            </w:r>
            <w:r w:rsidR="00F27EBA" w:rsidRPr="00D53897">
              <w:rPr>
                <w:b/>
                <w:sz w:val="24"/>
                <w:szCs w:val="24"/>
              </w:rPr>
              <w:t>000,00</w:t>
            </w:r>
          </w:p>
        </w:tc>
      </w:tr>
    </w:tbl>
    <w:p w:rsidR="006C4E72" w:rsidRDefault="006C4E72" w:rsidP="006C4E72">
      <w:pPr>
        <w:ind w:firstLine="426"/>
        <w:jc w:val="both"/>
        <w:rPr>
          <w:sz w:val="24"/>
          <w:szCs w:val="24"/>
        </w:rPr>
      </w:pPr>
    </w:p>
    <w:p w:rsidR="003372E1" w:rsidRDefault="00181819" w:rsidP="003331FC">
      <w:pPr>
        <w:ind w:firstLine="426"/>
        <w:jc w:val="both"/>
        <w:rPr>
          <w:sz w:val="24"/>
          <w:szCs w:val="24"/>
        </w:rPr>
      </w:pPr>
      <w:r w:rsidRPr="00110BA7">
        <w:rPr>
          <w:sz w:val="24"/>
          <w:szCs w:val="24"/>
        </w:rPr>
        <w:t xml:space="preserve">Proračun očekivanih ušteda u pogledu troškova je vršen grubom </w:t>
      </w:r>
      <w:r w:rsidR="00110BA7">
        <w:rPr>
          <w:sz w:val="24"/>
          <w:szCs w:val="24"/>
        </w:rPr>
        <w:t xml:space="preserve">procjenom </w:t>
      </w:r>
      <w:r w:rsidRPr="00110BA7">
        <w:rPr>
          <w:sz w:val="24"/>
          <w:szCs w:val="24"/>
        </w:rPr>
        <w:t xml:space="preserve"> obzirom da ne postoje relavenatne studije i </w:t>
      </w:r>
      <w:r w:rsidR="00110BA7" w:rsidRPr="00110BA7">
        <w:rPr>
          <w:sz w:val="24"/>
          <w:szCs w:val="24"/>
        </w:rPr>
        <w:t xml:space="preserve">detaljni </w:t>
      </w:r>
      <w:r w:rsidRPr="00110BA7">
        <w:rPr>
          <w:sz w:val="24"/>
          <w:szCs w:val="24"/>
        </w:rPr>
        <w:t>energetski pregledi sistema čija izrada se planira u narednom periodu.</w:t>
      </w:r>
      <w:r w:rsidR="00656487">
        <w:rPr>
          <w:sz w:val="24"/>
          <w:szCs w:val="24"/>
        </w:rPr>
        <w:t xml:space="preserve"> </w:t>
      </w:r>
    </w:p>
    <w:p w:rsidR="003331FC" w:rsidRDefault="00656487" w:rsidP="003331FC">
      <w:pPr>
        <w:ind w:firstLine="426"/>
        <w:jc w:val="both"/>
        <w:rPr>
          <w:b/>
          <w:sz w:val="24"/>
          <w:szCs w:val="24"/>
        </w:rPr>
      </w:pPr>
      <w:r w:rsidRPr="003372E1">
        <w:rPr>
          <w:sz w:val="24"/>
          <w:szCs w:val="24"/>
        </w:rPr>
        <w:lastRenderedPageBreak/>
        <w:t xml:space="preserve">Još jednom  </w:t>
      </w:r>
      <w:r w:rsidR="003372E1" w:rsidRPr="003372E1">
        <w:rPr>
          <w:sz w:val="24"/>
          <w:szCs w:val="24"/>
        </w:rPr>
        <w:t xml:space="preserve">ukazujemo na neslaganje izmedju </w:t>
      </w:r>
      <w:r w:rsidRPr="003372E1">
        <w:rPr>
          <w:sz w:val="24"/>
          <w:szCs w:val="24"/>
        </w:rPr>
        <w:t xml:space="preserve"> </w:t>
      </w:r>
      <w:r w:rsidR="00D53897" w:rsidRPr="003372E1">
        <w:rPr>
          <w:sz w:val="24"/>
          <w:szCs w:val="24"/>
        </w:rPr>
        <w:t xml:space="preserve">planiranih </w:t>
      </w:r>
      <w:r w:rsidRPr="003372E1">
        <w:rPr>
          <w:sz w:val="24"/>
          <w:szCs w:val="24"/>
        </w:rPr>
        <w:t xml:space="preserve">sredstava i </w:t>
      </w:r>
      <w:r w:rsidR="003372E1" w:rsidRPr="003372E1">
        <w:rPr>
          <w:sz w:val="24"/>
          <w:szCs w:val="24"/>
        </w:rPr>
        <w:t xml:space="preserve">očekivanih </w:t>
      </w:r>
      <w:r w:rsidR="00021BC5">
        <w:rPr>
          <w:sz w:val="24"/>
          <w:szCs w:val="24"/>
        </w:rPr>
        <w:t>ušteda</w:t>
      </w:r>
      <w:r w:rsidR="003372E1" w:rsidRPr="003372E1">
        <w:rPr>
          <w:sz w:val="24"/>
          <w:szCs w:val="24"/>
        </w:rPr>
        <w:t xml:space="preserve">. To je </w:t>
      </w:r>
      <w:r w:rsidRPr="003372E1">
        <w:rPr>
          <w:sz w:val="24"/>
          <w:szCs w:val="24"/>
        </w:rPr>
        <w:t xml:space="preserve">rezultat činjenice da </w:t>
      </w:r>
      <w:r w:rsidR="003372E1" w:rsidRPr="003372E1">
        <w:rPr>
          <w:sz w:val="24"/>
          <w:szCs w:val="24"/>
        </w:rPr>
        <w:t xml:space="preserve">kompletna </w:t>
      </w:r>
      <w:r w:rsidRPr="003372E1">
        <w:rPr>
          <w:sz w:val="24"/>
          <w:szCs w:val="24"/>
        </w:rPr>
        <w:t xml:space="preserve">sredstva koja su planirana da se ulože u gore navedene projekte nisu isključivo </w:t>
      </w:r>
      <w:r w:rsidR="00021BC5">
        <w:rPr>
          <w:sz w:val="24"/>
          <w:szCs w:val="24"/>
        </w:rPr>
        <w:t xml:space="preserve"> i uvijek u c</w:t>
      </w:r>
      <w:r w:rsidR="003372E1" w:rsidRPr="003372E1">
        <w:rPr>
          <w:sz w:val="24"/>
          <w:szCs w:val="24"/>
        </w:rPr>
        <w:t xml:space="preserve">jelosti </w:t>
      </w:r>
      <w:r w:rsidRPr="003372E1">
        <w:rPr>
          <w:sz w:val="24"/>
          <w:szCs w:val="24"/>
        </w:rPr>
        <w:t>vezana za energetsku efikasnost, ali ih nije moguće izdvojiti iz vrijednosti cjelokupnog projekta.</w:t>
      </w:r>
    </w:p>
    <w:p w:rsidR="00E036C0" w:rsidRPr="003331FC" w:rsidRDefault="0007319B" w:rsidP="0007319B">
      <w:pPr>
        <w:pStyle w:val="Heading1"/>
        <w:numPr>
          <w:ilvl w:val="0"/>
          <w:numId w:val="18"/>
        </w:numPr>
      </w:pPr>
      <w:bookmarkStart w:id="8" w:name="_Toc506378288"/>
      <w:r w:rsidRPr="003331FC">
        <w:t>FINANSIJSKI PLAN</w:t>
      </w:r>
      <w:bookmarkEnd w:id="8"/>
    </w:p>
    <w:p w:rsidR="00E036C0" w:rsidRDefault="00E036C0" w:rsidP="00E036C0">
      <w:pPr>
        <w:pStyle w:val="ListParagraph"/>
        <w:ind w:left="0" w:firstLine="426"/>
        <w:jc w:val="both"/>
        <w:rPr>
          <w:sz w:val="24"/>
          <w:szCs w:val="24"/>
        </w:rPr>
      </w:pPr>
      <w:r w:rsidRPr="00E036C0">
        <w:rPr>
          <w:sz w:val="24"/>
          <w:szCs w:val="24"/>
        </w:rPr>
        <w:t>Procjenjeni troškovi su usklađen</w:t>
      </w:r>
      <w:r w:rsidR="000F4095">
        <w:rPr>
          <w:sz w:val="24"/>
          <w:szCs w:val="24"/>
        </w:rPr>
        <w:t>i</w:t>
      </w:r>
      <w:r w:rsidRPr="00E036C0">
        <w:rPr>
          <w:sz w:val="24"/>
          <w:szCs w:val="24"/>
        </w:rPr>
        <w:t xml:space="preserve"> sa predviđenim i odobrenim projektima koji su planirani da se realizuju u toku 201</w:t>
      </w:r>
      <w:r w:rsidR="009F4416">
        <w:rPr>
          <w:sz w:val="24"/>
          <w:szCs w:val="24"/>
        </w:rPr>
        <w:t>8</w:t>
      </w:r>
      <w:r w:rsidRPr="00E036C0">
        <w:rPr>
          <w:sz w:val="24"/>
          <w:szCs w:val="24"/>
        </w:rPr>
        <w:t>. godine., predviđenim Budžetom Opštine, kao i sredstvima za koja očekujemo da će bit</w:t>
      </w:r>
      <w:r w:rsidR="005A0A5C">
        <w:rPr>
          <w:sz w:val="24"/>
          <w:szCs w:val="24"/>
        </w:rPr>
        <w:t xml:space="preserve">i odobrena od strane EU fondova i realizovana u ovoj godini. </w:t>
      </w:r>
      <w:r>
        <w:rPr>
          <w:sz w:val="24"/>
          <w:szCs w:val="24"/>
        </w:rPr>
        <w:t xml:space="preserve"> Tabela</w:t>
      </w:r>
      <w:r w:rsidR="00D53897">
        <w:rPr>
          <w:sz w:val="24"/>
          <w:szCs w:val="24"/>
        </w:rPr>
        <w:t xml:space="preserve"> 5.1</w:t>
      </w:r>
      <w:r>
        <w:rPr>
          <w:sz w:val="24"/>
          <w:szCs w:val="24"/>
        </w:rPr>
        <w:t xml:space="preserve"> </w:t>
      </w:r>
      <w:r w:rsidR="006E2F5D">
        <w:rPr>
          <w:sz w:val="24"/>
          <w:szCs w:val="24"/>
        </w:rPr>
        <w:t>prikazuje</w:t>
      </w:r>
      <w:r w:rsidR="00F302D9">
        <w:rPr>
          <w:sz w:val="24"/>
          <w:szCs w:val="24"/>
        </w:rPr>
        <w:t xml:space="preserve"> očekivane</w:t>
      </w:r>
      <w:r w:rsidR="006E2F5D">
        <w:rPr>
          <w:sz w:val="24"/>
          <w:szCs w:val="24"/>
        </w:rPr>
        <w:t xml:space="preserve"> izvore finansiranja za realizaciju Plana.</w:t>
      </w:r>
    </w:p>
    <w:p w:rsidR="00F27EBA" w:rsidRDefault="00F27EBA" w:rsidP="00E036C0">
      <w:pPr>
        <w:pStyle w:val="ListParagraph"/>
        <w:ind w:left="0" w:firstLine="426"/>
        <w:jc w:val="both"/>
        <w:rPr>
          <w:sz w:val="24"/>
          <w:szCs w:val="24"/>
        </w:rPr>
      </w:pPr>
    </w:p>
    <w:p w:rsidR="00A24A91" w:rsidRPr="00A24A91" w:rsidRDefault="00A24A91" w:rsidP="00E036C0">
      <w:pPr>
        <w:pStyle w:val="ListParagraph"/>
        <w:ind w:left="0" w:firstLine="426"/>
        <w:jc w:val="both"/>
        <w:rPr>
          <w:b/>
          <w:sz w:val="24"/>
          <w:szCs w:val="24"/>
        </w:rPr>
      </w:pPr>
      <w:r w:rsidRPr="00A24A91">
        <w:rPr>
          <w:b/>
          <w:sz w:val="24"/>
          <w:szCs w:val="24"/>
        </w:rPr>
        <w:t>Tabela 5.1 Predviđena/očekivana sredstva za realizaciju Plana</w:t>
      </w:r>
      <w:r w:rsidR="00E95D15">
        <w:rPr>
          <w:b/>
          <w:sz w:val="24"/>
          <w:szCs w:val="24"/>
        </w:rPr>
        <w:t xml:space="preserve"> </w:t>
      </w:r>
    </w:p>
    <w:tbl>
      <w:tblPr>
        <w:tblStyle w:val="TableGrid"/>
        <w:tblW w:w="0" w:type="auto"/>
        <w:jc w:val="center"/>
        <w:tblLook w:val="04A0" w:firstRow="1" w:lastRow="0" w:firstColumn="1" w:lastColumn="0" w:noHBand="0" w:noVBand="1"/>
      </w:tblPr>
      <w:tblGrid>
        <w:gridCol w:w="567"/>
        <w:gridCol w:w="3827"/>
        <w:gridCol w:w="2835"/>
      </w:tblGrid>
      <w:tr w:rsidR="00F27EBA" w:rsidRPr="00475903" w:rsidTr="00475903">
        <w:trPr>
          <w:jc w:val="center"/>
        </w:trPr>
        <w:tc>
          <w:tcPr>
            <w:tcW w:w="567" w:type="dxa"/>
            <w:tcBorders>
              <w:top w:val="single" w:sz="12" w:space="0" w:color="auto"/>
              <w:left w:val="single" w:sz="12" w:space="0" w:color="auto"/>
            </w:tcBorders>
            <w:shd w:val="clear" w:color="auto" w:fill="F2F2F2" w:themeFill="background1" w:themeFillShade="F2"/>
          </w:tcPr>
          <w:p w:rsidR="00F27EBA" w:rsidRPr="00475903" w:rsidRDefault="00F27EBA" w:rsidP="00B8196F">
            <w:pPr>
              <w:pStyle w:val="ListParagraph"/>
              <w:ind w:left="0"/>
              <w:jc w:val="both"/>
              <w:rPr>
                <w:b/>
                <w:sz w:val="24"/>
                <w:szCs w:val="24"/>
              </w:rPr>
            </w:pPr>
            <w:r w:rsidRPr="00475903">
              <w:rPr>
                <w:b/>
                <w:sz w:val="24"/>
                <w:szCs w:val="24"/>
              </w:rPr>
              <w:t>Br.</w:t>
            </w:r>
          </w:p>
        </w:tc>
        <w:tc>
          <w:tcPr>
            <w:tcW w:w="3827" w:type="dxa"/>
            <w:tcBorders>
              <w:top w:val="single" w:sz="12" w:space="0" w:color="auto"/>
            </w:tcBorders>
            <w:shd w:val="clear" w:color="auto" w:fill="F2F2F2" w:themeFill="background1" w:themeFillShade="F2"/>
          </w:tcPr>
          <w:p w:rsidR="00F27EBA" w:rsidRPr="00475903" w:rsidRDefault="00F27EBA" w:rsidP="00B8196F">
            <w:pPr>
              <w:pStyle w:val="ListParagraph"/>
              <w:ind w:left="0"/>
              <w:jc w:val="both"/>
              <w:rPr>
                <w:b/>
                <w:sz w:val="24"/>
                <w:szCs w:val="24"/>
              </w:rPr>
            </w:pPr>
            <w:r w:rsidRPr="00475903">
              <w:rPr>
                <w:b/>
                <w:sz w:val="24"/>
                <w:szCs w:val="24"/>
              </w:rPr>
              <w:t>Izvor finansiranja</w:t>
            </w:r>
          </w:p>
        </w:tc>
        <w:tc>
          <w:tcPr>
            <w:tcW w:w="2835" w:type="dxa"/>
            <w:tcBorders>
              <w:top w:val="single" w:sz="12" w:space="0" w:color="auto"/>
              <w:right w:val="single" w:sz="12" w:space="0" w:color="auto"/>
            </w:tcBorders>
            <w:shd w:val="clear" w:color="auto" w:fill="F2F2F2" w:themeFill="background1" w:themeFillShade="F2"/>
          </w:tcPr>
          <w:p w:rsidR="00F27EBA" w:rsidRPr="00475903" w:rsidRDefault="00F27EBA" w:rsidP="00B8196F">
            <w:pPr>
              <w:pStyle w:val="ListParagraph"/>
              <w:ind w:left="0"/>
              <w:jc w:val="both"/>
              <w:rPr>
                <w:b/>
                <w:sz w:val="24"/>
                <w:szCs w:val="24"/>
              </w:rPr>
            </w:pPr>
            <w:r w:rsidRPr="00475903">
              <w:rPr>
                <w:b/>
                <w:sz w:val="24"/>
                <w:szCs w:val="24"/>
              </w:rPr>
              <w:t>Budžet izvora (</w:t>
            </w:r>
            <w:r w:rsidRPr="00475903">
              <w:rPr>
                <w:rFonts w:cstheme="minorHAnsi"/>
                <w:b/>
                <w:sz w:val="24"/>
                <w:szCs w:val="24"/>
              </w:rPr>
              <w:t>€</w:t>
            </w:r>
            <w:r w:rsidRPr="00475903">
              <w:rPr>
                <w:b/>
                <w:sz w:val="24"/>
                <w:szCs w:val="24"/>
              </w:rPr>
              <w:t>)</w:t>
            </w:r>
          </w:p>
        </w:tc>
      </w:tr>
      <w:tr w:rsidR="00F27EBA" w:rsidTr="00475903">
        <w:trPr>
          <w:jc w:val="center"/>
        </w:trPr>
        <w:tc>
          <w:tcPr>
            <w:tcW w:w="567" w:type="dxa"/>
            <w:tcBorders>
              <w:left w:val="single" w:sz="12" w:space="0" w:color="auto"/>
            </w:tcBorders>
          </w:tcPr>
          <w:p w:rsidR="00F27EBA" w:rsidRDefault="00F27EBA" w:rsidP="00B8196F">
            <w:pPr>
              <w:pStyle w:val="ListParagraph"/>
              <w:ind w:left="0"/>
              <w:jc w:val="both"/>
              <w:rPr>
                <w:sz w:val="24"/>
                <w:szCs w:val="24"/>
              </w:rPr>
            </w:pPr>
            <w:r>
              <w:rPr>
                <w:sz w:val="24"/>
                <w:szCs w:val="24"/>
              </w:rPr>
              <w:t>1.</w:t>
            </w:r>
          </w:p>
        </w:tc>
        <w:tc>
          <w:tcPr>
            <w:tcW w:w="3827" w:type="dxa"/>
          </w:tcPr>
          <w:p w:rsidR="00F27EBA" w:rsidRDefault="00F27EBA" w:rsidP="00B8196F">
            <w:pPr>
              <w:pStyle w:val="ListParagraph"/>
              <w:ind w:left="0"/>
              <w:jc w:val="both"/>
              <w:rPr>
                <w:sz w:val="24"/>
                <w:szCs w:val="24"/>
              </w:rPr>
            </w:pPr>
            <w:r>
              <w:rPr>
                <w:sz w:val="24"/>
                <w:szCs w:val="24"/>
              </w:rPr>
              <w:t>EU fondovi</w:t>
            </w:r>
          </w:p>
        </w:tc>
        <w:tc>
          <w:tcPr>
            <w:tcW w:w="2835" w:type="dxa"/>
            <w:tcBorders>
              <w:right w:val="single" w:sz="12" w:space="0" w:color="auto"/>
            </w:tcBorders>
          </w:tcPr>
          <w:p w:rsidR="00F27EBA" w:rsidRDefault="009B273F" w:rsidP="000C4C36">
            <w:pPr>
              <w:pStyle w:val="ListParagraph"/>
              <w:ind w:left="0"/>
              <w:jc w:val="both"/>
              <w:rPr>
                <w:sz w:val="24"/>
                <w:szCs w:val="24"/>
              </w:rPr>
            </w:pPr>
            <w:r>
              <w:rPr>
                <w:sz w:val="24"/>
                <w:szCs w:val="24"/>
              </w:rPr>
              <w:t>2</w:t>
            </w:r>
            <w:r w:rsidR="000C4C36">
              <w:rPr>
                <w:sz w:val="24"/>
                <w:szCs w:val="24"/>
              </w:rPr>
              <w:t>09</w:t>
            </w:r>
            <w:r w:rsidR="00DA6260">
              <w:rPr>
                <w:sz w:val="24"/>
                <w:szCs w:val="24"/>
              </w:rPr>
              <w:t>.</w:t>
            </w:r>
            <w:r w:rsidR="0057124B">
              <w:rPr>
                <w:sz w:val="24"/>
                <w:szCs w:val="24"/>
              </w:rPr>
              <w:t>7</w:t>
            </w:r>
            <w:r>
              <w:rPr>
                <w:sz w:val="24"/>
                <w:szCs w:val="24"/>
              </w:rPr>
              <w:t>00</w:t>
            </w:r>
            <w:r w:rsidR="00F43A1D">
              <w:rPr>
                <w:sz w:val="24"/>
                <w:szCs w:val="24"/>
              </w:rPr>
              <w:t>,00</w:t>
            </w:r>
          </w:p>
        </w:tc>
      </w:tr>
      <w:tr w:rsidR="00F27EBA" w:rsidTr="00475903">
        <w:trPr>
          <w:jc w:val="center"/>
        </w:trPr>
        <w:tc>
          <w:tcPr>
            <w:tcW w:w="567" w:type="dxa"/>
            <w:tcBorders>
              <w:left w:val="single" w:sz="12" w:space="0" w:color="auto"/>
            </w:tcBorders>
          </w:tcPr>
          <w:p w:rsidR="00F27EBA" w:rsidRDefault="00F27EBA" w:rsidP="00B8196F">
            <w:pPr>
              <w:pStyle w:val="ListParagraph"/>
              <w:ind w:left="0"/>
              <w:jc w:val="both"/>
              <w:rPr>
                <w:sz w:val="24"/>
                <w:szCs w:val="24"/>
              </w:rPr>
            </w:pPr>
            <w:r>
              <w:rPr>
                <w:sz w:val="24"/>
                <w:szCs w:val="24"/>
              </w:rPr>
              <w:t>2.</w:t>
            </w:r>
          </w:p>
        </w:tc>
        <w:tc>
          <w:tcPr>
            <w:tcW w:w="3827" w:type="dxa"/>
          </w:tcPr>
          <w:p w:rsidR="00F27EBA" w:rsidRDefault="00F27EBA" w:rsidP="00B8196F">
            <w:pPr>
              <w:pStyle w:val="ListParagraph"/>
              <w:ind w:left="0"/>
              <w:jc w:val="both"/>
              <w:rPr>
                <w:sz w:val="24"/>
                <w:szCs w:val="24"/>
              </w:rPr>
            </w:pPr>
            <w:r>
              <w:rPr>
                <w:sz w:val="24"/>
                <w:szCs w:val="24"/>
              </w:rPr>
              <w:t>Budžet lokalne samouprave</w:t>
            </w:r>
          </w:p>
        </w:tc>
        <w:tc>
          <w:tcPr>
            <w:tcW w:w="2835" w:type="dxa"/>
            <w:tcBorders>
              <w:right w:val="single" w:sz="12" w:space="0" w:color="auto"/>
            </w:tcBorders>
          </w:tcPr>
          <w:p w:rsidR="00F27EBA" w:rsidRDefault="00474CE5" w:rsidP="00474CE5">
            <w:pPr>
              <w:pStyle w:val="ListParagraph"/>
              <w:ind w:left="0"/>
              <w:jc w:val="both"/>
              <w:rPr>
                <w:sz w:val="24"/>
                <w:szCs w:val="24"/>
              </w:rPr>
            </w:pPr>
            <w:r>
              <w:rPr>
                <w:sz w:val="24"/>
                <w:szCs w:val="24"/>
              </w:rPr>
              <w:t>322.373,21</w:t>
            </w:r>
          </w:p>
        </w:tc>
      </w:tr>
      <w:tr w:rsidR="00F27EBA" w:rsidTr="00475903">
        <w:trPr>
          <w:jc w:val="center"/>
        </w:trPr>
        <w:tc>
          <w:tcPr>
            <w:tcW w:w="567" w:type="dxa"/>
            <w:tcBorders>
              <w:left w:val="single" w:sz="12" w:space="0" w:color="auto"/>
              <w:bottom w:val="single" w:sz="12" w:space="0" w:color="auto"/>
            </w:tcBorders>
          </w:tcPr>
          <w:p w:rsidR="00F27EBA" w:rsidRDefault="00F27EBA" w:rsidP="00B8196F">
            <w:pPr>
              <w:pStyle w:val="ListParagraph"/>
              <w:ind w:left="0"/>
              <w:jc w:val="both"/>
              <w:rPr>
                <w:sz w:val="24"/>
                <w:szCs w:val="24"/>
              </w:rPr>
            </w:pPr>
            <w:r>
              <w:rPr>
                <w:sz w:val="24"/>
                <w:szCs w:val="24"/>
              </w:rPr>
              <w:t>3.</w:t>
            </w:r>
          </w:p>
        </w:tc>
        <w:tc>
          <w:tcPr>
            <w:tcW w:w="3827" w:type="dxa"/>
            <w:tcBorders>
              <w:bottom w:val="single" w:sz="12" w:space="0" w:color="auto"/>
            </w:tcBorders>
          </w:tcPr>
          <w:p w:rsidR="00F27EBA" w:rsidRDefault="00F27EBA" w:rsidP="00B8196F">
            <w:pPr>
              <w:pStyle w:val="ListParagraph"/>
              <w:ind w:left="0"/>
              <w:jc w:val="both"/>
              <w:rPr>
                <w:sz w:val="24"/>
                <w:szCs w:val="24"/>
              </w:rPr>
            </w:pPr>
            <w:r>
              <w:rPr>
                <w:sz w:val="24"/>
                <w:szCs w:val="24"/>
              </w:rPr>
              <w:t>Budžet javnih preduzeća</w:t>
            </w:r>
          </w:p>
        </w:tc>
        <w:tc>
          <w:tcPr>
            <w:tcW w:w="2835" w:type="dxa"/>
            <w:tcBorders>
              <w:bottom w:val="single" w:sz="12" w:space="0" w:color="auto"/>
              <w:right w:val="single" w:sz="12" w:space="0" w:color="auto"/>
            </w:tcBorders>
          </w:tcPr>
          <w:p w:rsidR="00F27EBA" w:rsidRDefault="00D53897" w:rsidP="00D53897">
            <w:pPr>
              <w:pStyle w:val="ListParagraph"/>
              <w:ind w:left="0"/>
              <w:jc w:val="both"/>
              <w:rPr>
                <w:sz w:val="24"/>
                <w:szCs w:val="24"/>
              </w:rPr>
            </w:pPr>
            <w:r>
              <w:rPr>
                <w:sz w:val="24"/>
                <w:szCs w:val="24"/>
              </w:rPr>
              <w:t>16</w:t>
            </w:r>
            <w:r w:rsidR="00474CE5">
              <w:rPr>
                <w:sz w:val="24"/>
                <w:szCs w:val="24"/>
              </w:rPr>
              <w:t>.000,</w:t>
            </w:r>
            <w:r>
              <w:rPr>
                <w:sz w:val="24"/>
                <w:szCs w:val="24"/>
              </w:rPr>
              <w:t>00</w:t>
            </w:r>
          </w:p>
        </w:tc>
      </w:tr>
      <w:tr w:rsidR="00475903" w:rsidTr="009C425C">
        <w:trPr>
          <w:jc w:val="center"/>
        </w:trPr>
        <w:tc>
          <w:tcPr>
            <w:tcW w:w="4394" w:type="dxa"/>
            <w:gridSpan w:val="2"/>
            <w:tcBorders>
              <w:top w:val="single" w:sz="12" w:space="0" w:color="auto"/>
              <w:left w:val="single" w:sz="12" w:space="0" w:color="auto"/>
              <w:bottom w:val="single" w:sz="12" w:space="0" w:color="auto"/>
            </w:tcBorders>
          </w:tcPr>
          <w:p w:rsidR="00475903" w:rsidRPr="00475903" w:rsidRDefault="00475903" w:rsidP="00475903">
            <w:pPr>
              <w:pStyle w:val="ListParagraph"/>
              <w:ind w:left="0"/>
              <w:jc w:val="right"/>
              <w:rPr>
                <w:b/>
                <w:sz w:val="24"/>
                <w:szCs w:val="24"/>
              </w:rPr>
            </w:pPr>
            <w:r w:rsidRPr="00475903">
              <w:rPr>
                <w:b/>
                <w:sz w:val="24"/>
                <w:szCs w:val="24"/>
              </w:rPr>
              <w:t>UKUPNO:</w:t>
            </w:r>
          </w:p>
        </w:tc>
        <w:tc>
          <w:tcPr>
            <w:tcW w:w="2835" w:type="dxa"/>
            <w:tcBorders>
              <w:top w:val="single" w:sz="12" w:space="0" w:color="auto"/>
              <w:bottom w:val="single" w:sz="12" w:space="0" w:color="auto"/>
              <w:right w:val="single" w:sz="12" w:space="0" w:color="auto"/>
            </w:tcBorders>
            <w:vAlign w:val="center"/>
          </w:tcPr>
          <w:p w:rsidR="00475903" w:rsidRPr="00226249" w:rsidRDefault="00475903" w:rsidP="000C4C36">
            <w:pPr>
              <w:rPr>
                <w:b/>
                <w:sz w:val="24"/>
                <w:szCs w:val="24"/>
              </w:rPr>
            </w:pPr>
            <w:r>
              <w:rPr>
                <w:b/>
                <w:sz w:val="24"/>
                <w:szCs w:val="24"/>
              </w:rPr>
              <w:t>5</w:t>
            </w:r>
            <w:r w:rsidR="000C4C36">
              <w:rPr>
                <w:b/>
                <w:sz w:val="24"/>
                <w:szCs w:val="24"/>
              </w:rPr>
              <w:t>48.073,21</w:t>
            </w:r>
          </w:p>
        </w:tc>
      </w:tr>
    </w:tbl>
    <w:p w:rsidR="00015E8D" w:rsidRDefault="00015E8D" w:rsidP="00F27EBA">
      <w:pPr>
        <w:pStyle w:val="ListParagraph"/>
        <w:ind w:left="0" w:firstLine="426"/>
        <w:jc w:val="both"/>
        <w:rPr>
          <w:sz w:val="24"/>
          <w:szCs w:val="24"/>
        </w:rPr>
      </w:pPr>
    </w:p>
    <w:p w:rsidR="00015E8D" w:rsidRDefault="00015E8D" w:rsidP="00F27EBA">
      <w:pPr>
        <w:pStyle w:val="ListParagraph"/>
        <w:ind w:left="0" w:firstLine="426"/>
        <w:jc w:val="both"/>
        <w:rPr>
          <w:sz w:val="24"/>
          <w:szCs w:val="24"/>
        </w:rPr>
      </w:pPr>
      <w:r>
        <w:rPr>
          <w:sz w:val="24"/>
          <w:szCs w:val="24"/>
        </w:rPr>
        <w:t xml:space="preserve">Kada su u pitanju sredstva iz EU fondova, projektom IRENE je obezbjeđeno ukupno 308.175,00€, u koje su uključeni i administrativni troškovi, dok je iznos obezbjeđen za realizaciju samih projekata 209.700,00€. Za realizaciju projekta postavljanja fotonaponske elektrane na krovu nove administrativne zgrade Opštine sredstva nisu obezbjeđena, ali se očekuje da će se u toku 2018. godine </w:t>
      </w:r>
      <w:r w:rsidR="000C4C36">
        <w:rPr>
          <w:sz w:val="24"/>
          <w:szCs w:val="24"/>
        </w:rPr>
        <w:t>aplicirati prema fondovima EU za iznalaženje finansijske konstrukcije</w:t>
      </w:r>
      <w:r>
        <w:rPr>
          <w:sz w:val="24"/>
          <w:szCs w:val="24"/>
        </w:rPr>
        <w:t>.</w:t>
      </w:r>
    </w:p>
    <w:p w:rsidR="006E2F5D" w:rsidRDefault="006E2F5D" w:rsidP="00F27EBA">
      <w:pPr>
        <w:pStyle w:val="ListParagraph"/>
        <w:ind w:left="0" w:firstLine="426"/>
        <w:jc w:val="both"/>
        <w:rPr>
          <w:sz w:val="24"/>
          <w:szCs w:val="24"/>
        </w:rPr>
      </w:pPr>
      <w:r>
        <w:rPr>
          <w:sz w:val="24"/>
          <w:szCs w:val="24"/>
        </w:rPr>
        <w:t xml:space="preserve">Ukupna sredstva koja su potrebna za realizaciju Plana iznose </w:t>
      </w:r>
      <w:r w:rsidR="00015E8D">
        <w:rPr>
          <w:b/>
          <w:sz w:val="24"/>
          <w:szCs w:val="24"/>
        </w:rPr>
        <w:t>5</w:t>
      </w:r>
      <w:r w:rsidR="00021BC5">
        <w:rPr>
          <w:b/>
          <w:sz w:val="24"/>
          <w:szCs w:val="24"/>
        </w:rPr>
        <w:t>48</w:t>
      </w:r>
      <w:r w:rsidR="00015E8D">
        <w:rPr>
          <w:b/>
          <w:sz w:val="24"/>
          <w:szCs w:val="24"/>
        </w:rPr>
        <w:t>.073,21</w:t>
      </w:r>
      <w:r w:rsidRPr="006E2F5D">
        <w:rPr>
          <w:b/>
          <w:sz w:val="24"/>
          <w:szCs w:val="24"/>
        </w:rPr>
        <w:t xml:space="preserve"> </w:t>
      </w:r>
      <w:r w:rsidRPr="006E2F5D">
        <w:rPr>
          <w:rFonts w:cstheme="minorHAnsi"/>
          <w:b/>
          <w:sz w:val="24"/>
          <w:szCs w:val="24"/>
        </w:rPr>
        <w:t>€</w:t>
      </w:r>
      <w:r w:rsidR="003372E1">
        <w:rPr>
          <w:rFonts w:cstheme="minorHAnsi"/>
          <w:sz w:val="24"/>
          <w:szCs w:val="24"/>
        </w:rPr>
        <w:t>.</w:t>
      </w:r>
    </w:p>
    <w:p w:rsidR="00F43A1D" w:rsidRDefault="00F43A1D" w:rsidP="00E036C0">
      <w:pPr>
        <w:pStyle w:val="ListParagraph"/>
        <w:ind w:left="0" w:firstLine="426"/>
        <w:jc w:val="both"/>
        <w:rPr>
          <w:rFonts w:cstheme="minorHAnsi"/>
          <w:b/>
          <w:sz w:val="24"/>
          <w:szCs w:val="24"/>
        </w:rPr>
      </w:pPr>
    </w:p>
    <w:p w:rsidR="00CA3611" w:rsidRDefault="00CA3611" w:rsidP="00E036C0">
      <w:pPr>
        <w:pStyle w:val="ListParagraph"/>
        <w:ind w:left="0" w:firstLine="426"/>
        <w:jc w:val="both"/>
        <w:rPr>
          <w:rFonts w:cstheme="minorHAnsi"/>
          <w:sz w:val="24"/>
          <w:szCs w:val="24"/>
        </w:rPr>
      </w:pPr>
    </w:p>
    <w:p w:rsidR="00CA3611" w:rsidRDefault="00CA3611" w:rsidP="00E036C0">
      <w:pPr>
        <w:pStyle w:val="ListParagraph"/>
        <w:ind w:left="0" w:firstLine="426"/>
        <w:jc w:val="both"/>
        <w:rPr>
          <w:rFonts w:cstheme="minorHAnsi"/>
          <w:sz w:val="24"/>
          <w:szCs w:val="24"/>
        </w:rPr>
      </w:pPr>
    </w:p>
    <w:p w:rsidR="0007319B" w:rsidRDefault="0007319B" w:rsidP="00E036C0">
      <w:pPr>
        <w:pStyle w:val="ListParagraph"/>
        <w:ind w:left="0" w:firstLine="426"/>
        <w:jc w:val="both"/>
        <w:rPr>
          <w:rFonts w:cstheme="minorHAnsi"/>
          <w:sz w:val="24"/>
          <w:szCs w:val="24"/>
        </w:rPr>
      </w:pPr>
    </w:p>
    <w:p w:rsidR="0007319B" w:rsidRDefault="0007319B" w:rsidP="00E036C0">
      <w:pPr>
        <w:pStyle w:val="ListParagraph"/>
        <w:ind w:left="0" w:firstLine="426"/>
        <w:jc w:val="both"/>
        <w:rPr>
          <w:rFonts w:cstheme="minorHAnsi"/>
          <w:sz w:val="24"/>
          <w:szCs w:val="24"/>
        </w:rPr>
      </w:pPr>
    </w:p>
    <w:p w:rsidR="00CA3611" w:rsidRDefault="00CA3611" w:rsidP="00E036C0">
      <w:pPr>
        <w:pStyle w:val="ListParagraph"/>
        <w:ind w:left="0" w:firstLine="426"/>
        <w:jc w:val="both"/>
        <w:rPr>
          <w:rFonts w:cstheme="minorHAnsi"/>
          <w:sz w:val="24"/>
          <w:szCs w:val="24"/>
        </w:rPr>
      </w:pPr>
    </w:p>
    <w:p w:rsidR="00DB35DF" w:rsidRPr="00DB35DF" w:rsidRDefault="00DB35DF" w:rsidP="00E036C0">
      <w:pPr>
        <w:pStyle w:val="ListParagraph"/>
        <w:ind w:left="0" w:firstLine="426"/>
        <w:jc w:val="both"/>
        <w:rPr>
          <w:rFonts w:cstheme="minorHAnsi"/>
          <w:sz w:val="24"/>
          <w:szCs w:val="24"/>
        </w:rPr>
      </w:pPr>
      <w:r w:rsidRPr="00DB35DF">
        <w:rPr>
          <w:rFonts w:cstheme="minorHAnsi"/>
          <w:sz w:val="24"/>
          <w:szCs w:val="24"/>
        </w:rPr>
        <w:t xml:space="preserve">Obradio ,                                                                            </w:t>
      </w:r>
      <w:r>
        <w:rPr>
          <w:rFonts w:cstheme="minorHAnsi"/>
          <w:sz w:val="24"/>
          <w:szCs w:val="24"/>
        </w:rPr>
        <w:t xml:space="preserve">           </w:t>
      </w:r>
      <w:r w:rsidRPr="00DB35DF">
        <w:rPr>
          <w:rFonts w:cstheme="minorHAnsi"/>
          <w:sz w:val="24"/>
          <w:szCs w:val="24"/>
        </w:rPr>
        <w:t xml:space="preserve">    Sekretar,</w:t>
      </w:r>
    </w:p>
    <w:p w:rsidR="00DB35DF" w:rsidRPr="00DB35DF" w:rsidRDefault="00DB35DF" w:rsidP="00E036C0">
      <w:pPr>
        <w:pStyle w:val="ListParagraph"/>
        <w:ind w:left="0" w:firstLine="426"/>
        <w:jc w:val="both"/>
        <w:rPr>
          <w:rFonts w:cstheme="minorHAnsi"/>
          <w:sz w:val="24"/>
          <w:szCs w:val="24"/>
        </w:rPr>
      </w:pPr>
      <w:r w:rsidRPr="00DB35DF">
        <w:rPr>
          <w:rFonts w:cstheme="minorHAnsi"/>
          <w:sz w:val="24"/>
          <w:szCs w:val="24"/>
        </w:rPr>
        <w:t xml:space="preserve">Savjetnik za energetsku efikasnost                   </w:t>
      </w:r>
      <w:r>
        <w:rPr>
          <w:rFonts w:cstheme="minorHAnsi"/>
          <w:sz w:val="24"/>
          <w:szCs w:val="24"/>
        </w:rPr>
        <w:t xml:space="preserve">            </w:t>
      </w:r>
      <w:r w:rsidRPr="00DB35DF">
        <w:rPr>
          <w:rFonts w:cstheme="minorHAnsi"/>
          <w:sz w:val="24"/>
          <w:szCs w:val="24"/>
        </w:rPr>
        <w:t xml:space="preserve">  Tatjana Jelić, dipl.pravnik</w:t>
      </w:r>
    </w:p>
    <w:p w:rsidR="00181819" w:rsidRDefault="00DB35DF" w:rsidP="00012608">
      <w:pPr>
        <w:pStyle w:val="ListParagraph"/>
        <w:ind w:left="0" w:firstLine="426"/>
        <w:jc w:val="both"/>
        <w:rPr>
          <w:sz w:val="24"/>
          <w:szCs w:val="24"/>
        </w:rPr>
      </w:pPr>
      <w:r w:rsidRPr="00DB35DF">
        <w:rPr>
          <w:rFonts w:cstheme="minorHAnsi"/>
          <w:sz w:val="24"/>
          <w:szCs w:val="24"/>
        </w:rPr>
        <w:t>Marinko Terzić, dipl.in</w:t>
      </w:r>
      <w:r w:rsidR="009F4416">
        <w:rPr>
          <w:rFonts w:cstheme="minorHAnsi"/>
          <w:sz w:val="24"/>
          <w:szCs w:val="24"/>
        </w:rPr>
        <w:t>ž</w:t>
      </w:r>
      <w:r w:rsidRPr="00DB35DF">
        <w:rPr>
          <w:rFonts w:cstheme="minorHAnsi"/>
          <w:sz w:val="24"/>
          <w:szCs w:val="24"/>
        </w:rPr>
        <w:t>.el.</w:t>
      </w:r>
    </w:p>
    <w:sectPr w:rsidR="00181819" w:rsidSect="00770E4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24" w:rsidRDefault="00AA7224" w:rsidP="00A36E0F">
      <w:pPr>
        <w:spacing w:after="0" w:line="240" w:lineRule="auto"/>
      </w:pPr>
      <w:r>
        <w:separator/>
      </w:r>
    </w:p>
  </w:endnote>
  <w:endnote w:type="continuationSeparator" w:id="0">
    <w:p w:rsidR="00AA7224" w:rsidRDefault="00AA7224" w:rsidP="00A3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09211"/>
      <w:docPartObj>
        <w:docPartGallery w:val="Page Numbers (Bottom of Page)"/>
        <w:docPartUnique/>
      </w:docPartObj>
    </w:sdtPr>
    <w:sdtEndPr>
      <w:rPr>
        <w:noProof/>
      </w:rPr>
    </w:sdtEndPr>
    <w:sdtContent>
      <w:p w:rsidR="00BA0714" w:rsidRDefault="00BA0714">
        <w:pPr>
          <w:pStyle w:val="Footer"/>
          <w:jc w:val="center"/>
        </w:pPr>
        <w:r>
          <w:fldChar w:fldCharType="begin"/>
        </w:r>
        <w:r>
          <w:instrText xml:space="preserve"> PAGE   \* MERGEFORMAT </w:instrText>
        </w:r>
        <w:r>
          <w:fldChar w:fldCharType="separate"/>
        </w:r>
        <w:r w:rsidR="00D31DF7">
          <w:rPr>
            <w:noProof/>
          </w:rPr>
          <w:t>2</w:t>
        </w:r>
        <w:r>
          <w:rPr>
            <w:noProof/>
          </w:rPr>
          <w:fldChar w:fldCharType="end"/>
        </w:r>
      </w:p>
    </w:sdtContent>
  </w:sdt>
  <w:p w:rsidR="00BA0714" w:rsidRDefault="00BA07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24" w:rsidRDefault="00AA7224" w:rsidP="00A36E0F">
      <w:pPr>
        <w:spacing w:after="0" w:line="240" w:lineRule="auto"/>
      </w:pPr>
      <w:r>
        <w:separator/>
      </w:r>
    </w:p>
  </w:footnote>
  <w:footnote w:type="continuationSeparator" w:id="0">
    <w:p w:rsidR="00AA7224" w:rsidRDefault="00AA7224" w:rsidP="00A3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E93"/>
    <w:multiLevelType w:val="hybridMultilevel"/>
    <w:tmpl w:val="2DEC2E44"/>
    <w:lvl w:ilvl="0" w:tplc="2C1A000B">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 w15:restartNumberingAfterBreak="0">
    <w:nsid w:val="00E620D2"/>
    <w:multiLevelType w:val="hybridMultilevel"/>
    <w:tmpl w:val="B400043C"/>
    <w:lvl w:ilvl="0" w:tplc="7116CA48">
      <w:start w:val="3"/>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1472CB1"/>
    <w:multiLevelType w:val="hybridMultilevel"/>
    <w:tmpl w:val="6742C4B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E5052EE"/>
    <w:multiLevelType w:val="hybridMultilevel"/>
    <w:tmpl w:val="1B04BE7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91A4106"/>
    <w:multiLevelType w:val="hybridMultilevel"/>
    <w:tmpl w:val="523E8E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C7716D0"/>
    <w:multiLevelType w:val="hybridMultilevel"/>
    <w:tmpl w:val="8AFA1F6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D677714"/>
    <w:multiLevelType w:val="hybridMultilevel"/>
    <w:tmpl w:val="E9864F66"/>
    <w:lvl w:ilvl="0" w:tplc="111A6A7E">
      <w:start w:val="214"/>
      <w:numFmt w:val="bullet"/>
      <w:lvlText w:val=""/>
      <w:lvlJc w:val="left"/>
      <w:pPr>
        <w:ind w:left="1146" w:hanging="360"/>
      </w:pPr>
      <w:rPr>
        <w:rFonts w:ascii="Symbol" w:eastAsiaTheme="minorHAnsi" w:hAnsi="Symbol" w:cstheme="minorBidi"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7" w15:restartNumberingAfterBreak="0">
    <w:nsid w:val="2E036144"/>
    <w:multiLevelType w:val="hybridMultilevel"/>
    <w:tmpl w:val="6B1EC9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E855577"/>
    <w:multiLevelType w:val="hybridMultilevel"/>
    <w:tmpl w:val="DF267490"/>
    <w:lvl w:ilvl="0" w:tplc="2C1A000B">
      <w:start w:val="1"/>
      <w:numFmt w:val="bullet"/>
      <w:lvlText w:val=""/>
      <w:lvlJc w:val="left"/>
      <w:pPr>
        <w:ind w:left="3600" w:hanging="360"/>
      </w:pPr>
      <w:rPr>
        <w:rFonts w:ascii="Wingdings" w:hAnsi="Wingdings" w:hint="default"/>
      </w:rPr>
    </w:lvl>
    <w:lvl w:ilvl="1" w:tplc="2C1A0003" w:tentative="1">
      <w:start w:val="1"/>
      <w:numFmt w:val="bullet"/>
      <w:lvlText w:val="o"/>
      <w:lvlJc w:val="left"/>
      <w:pPr>
        <w:ind w:left="4320" w:hanging="360"/>
      </w:pPr>
      <w:rPr>
        <w:rFonts w:ascii="Courier New" w:hAnsi="Courier New" w:cs="Courier New" w:hint="default"/>
      </w:rPr>
    </w:lvl>
    <w:lvl w:ilvl="2" w:tplc="2C1A0005" w:tentative="1">
      <w:start w:val="1"/>
      <w:numFmt w:val="bullet"/>
      <w:lvlText w:val=""/>
      <w:lvlJc w:val="left"/>
      <w:pPr>
        <w:ind w:left="5040" w:hanging="360"/>
      </w:pPr>
      <w:rPr>
        <w:rFonts w:ascii="Wingdings" w:hAnsi="Wingdings" w:hint="default"/>
      </w:rPr>
    </w:lvl>
    <w:lvl w:ilvl="3" w:tplc="2C1A0001" w:tentative="1">
      <w:start w:val="1"/>
      <w:numFmt w:val="bullet"/>
      <w:lvlText w:val=""/>
      <w:lvlJc w:val="left"/>
      <w:pPr>
        <w:ind w:left="5760" w:hanging="360"/>
      </w:pPr>
      <w:rPr>
        <w:rFonts w:ascii="Symbol" w:hAnsi="Symbol" w:hint="default"/>
      </w:rPr>
    </w:lvl>
    <w:lvl w:ilvl="4" w:tplc="2C1A0003" w:tentative="1">
      <w:start w:val="1"/>
      <w:numFmt w:val="bullet"/>
      <w:lvlText w:val="o"/>
      <w:lvlJc w:val="left"/>
      <w:pPr>
        <w:ind w:left="6480" w:hanging="360"/>
      </w:pPr>
      <w:rPr>
        <w:rFonts w:ascii="Courier New" w:hAnsi="Courier New" w:cs="Courier New" w:hint="default"/>
      </w:rPr>
    </w:lvl>
    <w:lvl w:ilvl="5" w:tplc="2C1A0005" w:tentative="1">
      <w:start w:val="1"/>
      <w:numFmt w:val="bullet"/>
      <w:lvlText w:val=""/>
      <w:lvlJc w:val="left"/>
      <w:pPr>
        <w:ind w:left="7200" w:hanging="360"/>
      </w:pPr>
      <w:rPr>
        <w:rFonts w:ascii="Wingdings" w:hAnsi="Wingdings" w:hint="default"/>
      </w:rPr>
    </w:lvl>
    <w:lvl w:ilvl="6" w:tplc="2C1A0001" w:tentative="1">
      <w:start w:val="1"/>
      <w:numFmt w:val="bullet"/>
      <w:lvlText w:val=""/>
      <w:lvlJc w:val="left"/>
      <w:pPr>
        <w:ind w:left="7920" w:hanging="360"/>
      </w:pPr>
      <w:rPr>
        <w:rFonts w:ascii="Symbol" w:hAnsi="Symbol" w:hint="default"/>
      </w:rPr>
    </w:lvl>
    <w:lvl w:ilvl="7" w:tplc="2C1A0003" w:tentative="1">
      <w:start w:val="1"/>
      <w:numFmt w:val="bullet"/>
      <w:lvlText w:val="o"/>
      <w:lvlJc w:val="left"/>
      <w:pPr>
        <w:ind w:left="8640" w:hanging="360"/>
      </w:pPr>
      <w:rPr>
        <w:rFonts w:ascii="Courier New" w:hAnsi="Courier New" w:cs="Courier New" w:hint="default"/>
      </w:rPr>
    </w:lvl>
    <w:lvl w:ilvl="8" w:tplc="2C1A0005" w:tentative="1">
      <w:start w:val="1"/>
      <w:numFmt w:val="bullet"/>
      <w:lvlText w:val=""/>
      <w:lvlJc w:val="left"/>
      <w:pPr>
        <w:ind w:left="9360" w:hanging="360"/>
      </w:pPr>
      <w:rPr>
        <w:rFonts w:ascii="Wingdings" w:hAnsi="Wingdings" w:hint="default"/>
      </w:rPr>
    </w:lvl>
  </w:abstractNum>
  <w:abstractNum w:abstractNumId="9" w15:restartNumberingAfterBreak="0">
    <w:nsid w:val="44B057EA"/>
    <w:multiLevelType w:val="hybridMultilevel"/>
    <w:tmpl w:val="A2F29236"/>
    <w:lvl w:ilvl="0" w:tplc="70108360">
      <w:start w:val="214"/>
      <w:numFmt w:val="bullet"/>
      <w:lvlText w:val=""/>
      <w:lvlJc w:val="left"/>
      <w:pPr>
        <w:ind w:left="786" w:hanging="360"/>
      </w:pPr>
      <w:rPr>
        <w:rFonts w:ascii="Symbol" w:eastAsiaTheme="minorHAnsi" w:hAnsi="Symbol" w:cstheme="minorBidi"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 w15:restartNumberingAfterBreak="0">
    <w:nsid w:val="499656B9"/>
    <w:multiLevelType w:val="hybridMultilevel"/>
    <w:tmpl w:val="68C6DB64"/>
    <w:lvl w:ilvl="0" w:tplc="2C1A000B">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 w15:restartNumberingAfterBreak="0">
    <w:nsid w:val="575B7D05"/>
    <w:multiLevelType w:val="hybridMultilevel"/>
    <w:tmpl w:val="786C333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5F3D68D0"/>
    <w:multiLevelType w:val="multilevel"/>
    <w:tmpl w:val="834A1652"/>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147231A"/>
    <w:multiLevelType w:val="hybridMultilevel"/>
    <w:tmpl w:val="2C38CFB2"/>
    <w:lvl w:ilvl="0" w:tplc="2C1A000B">
      <w:start w:val="1"/>
      <w:numFmt w:val="bullet"/>
      <w:lvlText w:val=""/>
      <w:lvlJc w:val="left"/>
      <w:pPr>
        <w:ind w:left="3600" w:hanging="360"/>
      </w:pPr>
      <w:rPr>
        <w:rFonts w:ascii="Wingdings" w:hAnsi="Wingdings" w:hint="default"/>
      </w:rPr>
    </w:lvl>
    <w:lvl w:ilvl="1" w:tplc="2C1A0003" w:tentative="1">
      <w:start w:val="1"/>
      <w:numFmt w:val="bullet"/>
      <w:lvlText w:val="o"/>
      <w:lvlJc w:val="left"/>
      <w:pPr>
        <w:ind w:left="4320" w:hanging="360"/>
      </w:pPr>
      <w:rPr>
        <w:rFonts w:ascii="Courier New" w:hAnsi="Courier New" w:cs="Courier New" w:hint="default"/>
      </w:rPr>
    </w:lvl>
    <w:lvl w:ilvl="2" w:tplc="2C1A0005" w:tentative="1">
      <w:start w:val="1"/>
      <w:numFmt w:val="bullet"/>
      <w:lvlText w:val=""/>
      <w:lvlJc w:val="left"/>
      <w:pPr>
        <w:ind w:left="5040" w:hanging="360"/>
      </w:pPr>
      <w:rPr>
        <w:rFonts w:ascii="Wingdings" w:hAnsi="Wingdings" w:hint="default"/>
      </w:rPr>
    </w:lvl>
    <w:lvl w:ilvl="3" w:tplc="2C1A0001" w:tentative="1">
      <w:start w:val="1"/>
      <w:numFmt w:val="bullet"/>
      <w:lvlText w:val=""/>
      <w:lvlJc w:val="left"/>
      <w:pPr>
        <w:ind w:left="5760" w:hanging="360"/>
      </w:pPr>
      <w:rPr>
        <w:rFonts w:ascii="Symbol" w:hAnsi="Symbol" w:hint="default"/>
      </w:rPr>
    </w:lvl>
    <w:lvl w:ilvl="4" w:tplc="2C1A0003" w:tentative="1">
      <w:start w:val="1"/>
      <w:numFmt w:val="bullet"/>
      <w:lvlText w:val="o"/>
      <w:lvlJc w:val="left"/>
      <w:pPr>
        <w:ind w:left="6480" w:hanging="360"/>
      </w:pPr>
      <w:rPr>
        <w:rFonts w:ascii="Courier New" w:hAnsi="Courier New" w:cs="Courier New" w:hint="default"/>
      </w:rPr>
    </w:lvl>
    <w:lvl w:ilvl="5" w:tplc="2C1A0005" w:tentative="1">
      <w:start w:val="1"/>
      <w:numFmt w:val="bullet"/>
      <w:lvlText w:val=""/>
      <w:lvlJc w:val="left"/>
      <w:pPr>
        <w:ind w:left="7200" w:hanging="360"/>
      </w:pPr>
      <w:rPr>
        <w:rFonts w:ascii="Wingdings" w:hAnsi="Wingdings" w:hint="default"/>
      </w:rPr>
    </w:lvl>
    <w:lvl w:ilvl="6" w:tplc="2C1A0001" w:tentative="1">
      <w:start w:val="1"/>
      <w:numFmt w:val="bullet"/>
      <w:lvlText w:val=""/>
      <w:lvlJc w:val="left"/>
      <w:pPr>
        <w:ind w:left="7920" w:hanging="360"/>
      </w:pPr>
      <w:rPr>
        <w:rFonts w:ascii="Symbol" w:hAnsi="Symbol" w:hint="default"/>
      </w:rPr>
    </w:lvl>
    <w:lvl w:ilvl="7" w:tplc="2C1A0003" w:tentative="1">
      <w:start w:val="1"/>
      <w:numFmt w:val="bullet"/>
      <w:lvlText w:val="o"/>
      <w:lvlJc w:val="left"/>
      <w:pPr>
        <w:ind w:left="8640" w:hanging="360"/>
      </w:pPr>
      <w:rPr>
        <w:rFonts w:ascii="Courier New" w:hAnsi="Courier New" w:cs="Courier New" w:hint="default"/>
      </w:rPr>
    </w:lvl>
    <w:lvl w:ilvl="8" w:tplc="2C1A0005" w:tentative="1">
      <w:start w:val="1"/>
      <w:numFmt w:val="bullet"/>
      <w:lvlText w:val=""/>
      <w:lvlJc w:val="left"/>
      <w:pPr>
        <w:ind w:left="9360" w:hanging="360"/>
      </w:pPr>
      <w:rPr>
        <w:rFonts w:ascii="Wingdings" w:hAnsi="Wingdings" w:hint="default"/>
      </w:rPr>
    </w:lvl>
  </w:abstractNum>
  <w:abstractNum w:abstractNumId="14" w15:restartNumberingAfterBreak="0">
    <w:nsid w:val="67CE1203"/>
    <w:multiLevelType w:val="multilevel"/>
    <w:tmpl w:val="10E462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64612A"/>
    <w:multiLevelType w:val="hybridMultilevel"/>
    <w:tmpl w:val="B810E60E"/>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6" w15:restartNumberingAfterBreak="0">
    <w:nsid w:val="766F51CE"/>
    <w:multiLevelType w:val="hybridMultilevel"/>
    <w:tmpl w:val="522A64B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7C841D03"/>
    <w:multiLevelType w:val="hybridMultilevel"/>
    <w:tmpl w:val="29CCEA9C"/>
    <w:lvl w:ilvl="0" w:tplc="F27C02D0">
      <w:start w:val="588"/>
      <w:numFmt w:val="bullet"/>
      <w:lvlText w:val="-"/>
      <w:lvlJc w:val="left"/>
      <w:pPr>
        <w:ind w:left="786" w:hanging="360"/>
      </w:pPr>
      <w:rPr>
        <w:rFonts w:ascii="Calibri" w:eastAsiaTheme="minorHAnsi" w:hAnsi="Calibri" w:cstheme="minorBidi"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num w:numId="1">
    <w:abstractNumId w:val="14"/>
  </w:num>
  <w:num w:numId="2">
    <w:abstractNumId w:val="0"/>
  </w:num>
  <w:num w:numId="3">
    <w:abstractNumId w:val="10"/>
  </w:num>
  <w:num w:numId="4">
    <w:abstractNumId w:val="15"/>
  </w:num>
  <w:num w:numId="5">
    <w:abstractNumId w:val="12"/>
  </w:num>
  <w:num w:numId="6">
    <w:abstractNumId w:val="13"/>
  </w:num>
  <w:num w:numId="7">
    <w:abstractNumId w:val="8"/>
  </w:num>
  <w:num w:numId="8">
    <w:abstractNumId w:val="1"/>
  </w:num>
  <w:num w:numId="9">
    <w:abstractNumId w:val="3"/>
  </w:num>
  <w:num w:numId="10">
    <w:abstractNumId w:val="2"/>
  </w:num>
  <w:num w:numId="11">
    <w:abstractNumId w:val="5"/>
  </w:num>
  <w:num w:numId="12">
    <w:abstractNumId w:val="16"/>
  </w:num>
  <w:num w:numId="13">
    <w:abstractNumId w:val="4"/>
  </w:num>
  <w:num w:numId="14">
    <w:abstractNumId w:val="9"/>
  </w:num>
  <w:num w:numId="15">
    <w:abstractNumId w:val="6"/>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C"/>
    <w:rsid w:val="00012608"/>
    <w:rsid w:val="00015E8D"/>
    <w:rsid w:val="0002195B"/>
    <w:rsid w:val="00021BC5"/>
    <w:rsid w:val="000617C1"/>
    <w:rsid w:val="000710CA"/>
    <w:rsid w:val="0007319B"/>
    <w:rsid w:val="00077E99"/>
    <w:rsid w:val="0008176B"/>
    <w:rsid w:val="000923CD"/>
    <w:rsid w:val="000B2585"/>
    <w:rsid w:val="000B75A9"/>
    <w:rsid w:val="000C4C36"/>
    <w:rsid w:val="000D600C"/>
    <w:rsid w:val="000E0D7A"/>
    <w:rsid w:val="000E11CE"/>
    <w:rsid w:val="000E54A2"/>
    <w:rsid w:val="000F4095"/>
    <w:rsid w:val="00110BA7"/>
    <w:rsid w:val="00134010"/>
    <w:rsid w:val="00142342"/>
    <w:rsid w:val="00170246"/>
    <w:rsid w:val="00174C12"/>
    <w:rsid w:val="00181819"/>
    <w:rsid w:val="001B2352"/>
    <w:rsid w:val="001C48D3"/>
    <w:rsid w:val="001E3670"/>
    <w:rsid w:val="001E75A2"/>
    <w:rsid w:val="001F7E67"/>
    <w:rsid w:val="0020519D"/>
    <w:rsid w:val="00210B31"/>
    <w:rsid w:val="00215AD2"/>
    <w:rsid w:val="00226249"/>
    <w:rsid w:val="00233913"/>
    <w:rsid w:val="00233CC9"/>
    <w:rsid w:val="00241B09"/>
    <w:rsid w:val="0026761C"/>
    <w:rsid w:val="00267B6B"/>
    <w:rsid w:val="00293D83"/>
    <w:rsid w:val="002A7B29"/>
    <w:rsid w:val="002C3E06"/>
    <w:rsid w:val="002C5EDD"/>
    <w:rsid w:val="002D2180"/>
    <w:rsid w:val="002D2300"/>
    <w:rsid w:val="002D7A24"/>
    <w:rsid w:val="003331FC"/>
    <w:rsid w:val="003372E1"/>
    <w:rsid w:val="00342CEF"/>
    <w:rsid w:val="003471D8"/>
    <w:rsid w:val="0036125B"/>
    <w:rsid w:val="0037534F"/>
    <w:rsid w:val="00385977"/>
    <w:rsid w:val="003C01E2"/>
    <w:rsid w:val="003C22D5"/>
    <w:rsid w:val="003C41D6"/>
    <w:rsid w:val="003E0EC3"/>
    <w:rsid w:val="0042452E"/>
    <w:rsid w:val="00437C8C"/>
    <w:rsid w:val="00451BE4"/>
    <w:rsid w:val="00454A3B"/>
    <w:rsid w:val="00474CE5"/>
    <w:rsid w:val="0047522B"/>
    <w:rsid w:val="00475903"/>
    <w:rsid w:val="00476428"/>
    <w:rsid w:val="0048649E"/>
    <w:rsid w:val="00491872"/>
    <w:rsid w:val="004A212C"/>
    <w:rsid w:val="004C438C"/>
    <w:rsid w:val="004E0A26"/>
    <w:rsid w:val="004F20A0"/>
    <w:rsid w:val="005008B4"/>
    <w:rsid w:val="005030EB"/>
    <w:rsid w:val="00506849"/>
    <w:rsid w:val="005133E2"/>
    <w:rsid w:val="00517F1D"/>
    <w:rsid w:val="00531634"/>
    <w:rsid w:val="00542792"/>
    <w:rsid w:val="00554D0C"/>
    <w:rsid w:val="005641D0"/>
    <w:rsid w:val="0057124B"/>
    <w:rsid w:val="005A0A5C"/>
    <w:rsid w:val="005C01B7"/>
    <w:rsid w:val="005C0888"/>
    <w:rsid w:val="005C4413"/>
    <w:rsid w:val="005C4DAC"/>
    <w:rsid w:val="005F412A"/>
    <w:rsid w:val="006114E8"/>
    <w:rsid w:val="00613853"/>
    <w:rsid w:val="00627874"/>
    <w:rsid w:val="00644B96"/>
    <w:rsid w:val="00656487"/>
    <w:rsid w:val="006B111E"/>
    <w:rsid w:val="006C4E72"/>
    <w:rsid w:val="006C558A"/>
    <w:rsid w:val="006C6DBC"/>
    <w:rsid w:val="006E2F5D"/>
    <w:rsid w:val="006F3E6F"/>
    <w:rsid w:val="006F4084"/>
    <w:rsid w:val="006F53E8"/>
    <w:rsid w:val="007015C6"/>
    <w:rsid w:val="00706CF9"/>
    <w:rsid w:val="00712CB6"/>
    <w:rsid w:val="00754E36"/>
    <w:rsid w:val="00755333"/>
    <w:rsid w:val="00757259"/>
    <w:rsid w:val="00770E4C"/>
    <w:rsid w:val="00784486"/>
    <w:rsid w:val="007C3495"/>
    <w:rsid w:val="007D3726"/>
    <w:rsid w:val="007E65E5"/>
    <w:rsid w:val="00806DDB"/>
    <w:rsid w:val="00822A0A"/>
    <w:rsid w:val="008400B8"/>
    <w:rsid w:val="00847D12"/>
    <w:rsid w:val="00861DCC"/>
    <w:rsid w:val="00871417"/>
    <w:rsid w:val="008940D5"/>
    <w:rsid w:val="008E7B42"/>
    <w:rsid w:val="008E7BAE"/>
    <w:rsid w:val="009010CD"/>
    <w:rsid w:val="00917C50"/>
    <w:rsid w:val="00941B66"/>
    <w:rsid w:val="00944F58"/>
    <w:rsid w:val="00957B9B"/>
    <w:rsid w:val="00963301"/>
    <w:rsid w:val="00980196"/>
    <w:rsid w:val="0099272A"/>
    <w:rsid w:val="009A007F"/>
    <w:rsid w:val="009A0495"/>
    <w:rsid w:val="009B273F"/>
    <w:rsid w:val="009B3958"/>
    <w:rsid w:val="009C425C"/>
    <w:rsid w:val="009E6835"/>
    <w:rsid w:val="009F4416"/>
    <w:rsid w:val="009F76D9"/>
    <w:rsid w:val="009F7717"/>
    <w:rsid w:val="00A11361"/>
    <w:rsid w:val="00A16E50"/>
    <w:rsid w:val="00A179E9"/>
    <w:rsid w:val="00A204C2"/>
    <w:rsid w:val="00A2392C"/>
    <w:rsid w:val="00A2419B"/>
    <w:rsid w:val="00A24A91"/>
    <w:rsid w:val="00A32008"/>
    <w:rsid w:val="00A342F0"/>
    <w:rsid w:val="00A36E0F"/>
    <w:rsid w:val="00A439E7"/>
    <w:rsid w:val="00A558C8"/>
    <w:rsid w:val="00A57417"/>
    <w:rsid w:val="00A64107"/>
    <w:rsid w:val="00A74624"/>
    <w:rsid w:val="00A7797A"/>
    <w:rsid w:val="00A92161"/>
    <w:rsid w:val="00AA7224"/>
    <w:rsid w:val="00AD172A"/>
    <w:rsid w:val="00AD35C7"/>
    <w:rsid w:val="00AE0DD1"/>
    <w:rsid w:val="00AE5C22"/>
    <w:rsid w:val="00AF701D"/>
    <w:rsid w:val="00B05DC0"/>
    <w:rsid w:val="00B4325C"/>
    <w:rsid w:val="00B6346C"/>
    <w:rsid w:val="00B7761B"/>
    <w:rsid w:val="00B7771A"/>
    <w:rsid w:val="00B8196F"/>
    <w:rsid w:val="00B82492"/>
    <w:rsid w:val="00B84326"/>
    <w:rsid w:val="00BA0714"/>
    <w:rsid w:val="00BA6904"/>
    <w:rsid w:val="00BB52E9"/>
    <w:rsid w:val="00BB6FEF"/>
    <w:rsid w:val="00C06876"/>
    <w:rsid w:val="00C201F1"/>
    <w:rsid w:val="00C353B0"/>
    <w:rsid w:val="00C42970"/>
    <w:rsid w:val="00C50EA4"/>
    <w:rsid w:val="00C616A8"/>
    <w:rsid w:val="00C87EA3"/>
    <w:rsid w:val="00C91A00"/>
    <w:rsid w:val="00CA34A9"/>
    <w:rsid w:val="00CA3611"/>
    <w:rsid w:val="00CC6E06"/>
    <w:rsid w:val="00CC7614"/>
    <w:rsid w:val="00D02C66"/>
    <w:rsid w:val="00D31DF7"/>
    <w:rsid w:val="00D34962"/>
    <w:rsid w:val="00D53897"/>
    <w:rsid w:val="00D801B8"/>
    <w:rsid w:val="00D84AB8"/>
    <w:rsid w:val="00D976C9"/>
    <w:rsid w:val="00DA6260"/>
    <w:rsid w:val="00DB35DF"/>
    <w:rsid w:val="00DC2984"/>
    <w:rsid w:val="00DE7EFF"/>
    <w:rsid w:val="00E036C0"/>
    <w:rsid w:val="00E117CC"/>
    <w:rsid w:val="00E11F95"/>
    <w:rsid w:val="00E227A6"/>
    <w:rsid w:val="00E2365E"/>
    <w:rsid w:val="00E742A1"/>
    <w:rsid w:val="00E95D15"/>
    <w:rsid w:val="00E97FA2"/>
    <w:rsid w:val="00EA2FDC"/>
    <w:rsid w:val="00EC01CA"/>
    <w:rsid w:val="00EC0EBE"/>
    <w:rsid w:val="00F01ABB"/>
    <w:rsid w:val="00F1090B"/>
    <w:rsid w:val="00F14F90"/>
    <w:rsid w:val="00F2692C"/>
    <w:rsid w:val="00F27EBA"/>
    <w:rsid w:val="00F302D9"/>
    <w:rsid w:val="00F43A1D"/>
    <w:rsid w:val="00F64669"/>
    <w:rsid w:val="00F72BCD"/>
    <w:rsid w:val="00F94B4B"/>
    <w:rsid w:val="00FA1A23"/>
    <w:rsid w:val="00FA6EC5"/>
    <w:rsid w:val="00FD035C"/>
    <w:rsid w:val="00FD63E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0C2B3-E4F2-454E-AD67-683711B6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319B"/>
    <w:pPr>
      <w:keepNext/>
      <w:spacing w:before="360" w:after="120" w:line="240" w:lineRule="auto"/>
      <w:outlineLvl w:val="1"/>
    </w:pPr>
    <w:rPr>
      <w:rFonts w:ascii="Arial" w:eastAsia="Times New Roman" w:hAnsi="Arial" w:cs="Arial"/>
      <w:b/>
      <w:bCs/>
      <w:iCs/>
      <w:color w:val="17365D" w:themeColor="text2" w:themeShade="BF"/>
      <w:sz w:val="28"/>
      <w:szCs w:val="28"/>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2C"/>
    <w:pPr>
      <w:ind w:left="720"/>
      <w:contextualSpacing/>
    </w:pPr>
  </w:style>
  <w:style w:type="table" w:styleId="TableGrid">
    <w:name w:val="Table Grid"/>
    <w:basedOn w:val="TableNormal"/>
    <w:uiPriority w:val="59"/>
    <w:rsid w:val="004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E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6E0F"/>
  </w:style>
  <w:style w:type="paragraph" w:styleId="Footer">
    <w:name w:val="footer"/>
    <w:basedOn w:val="Normal"/>
    <w:link w:val="FooterChar"/>
    <w:uiPriority w:val="99"/>
    <w:unhideWhenUsed/>
    <w:rsid w:val="00A36E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6E0F"/>
  </w:style>
  <w:style w:type="character" w:customStyle="1" w:styleId="Heading2Char">
    <w:name w:val="Heading 2 Char"/>
    <w:basedOn w:val="DefaultParagraphFont"/>
    <w:link w:val="Heading2"/>
    <w:rsid w:val="0007319B"/>
    <w:rPr>
      <w:rFonts w:ascii="Arial" w:eastAsia="Times New Roman" w:hAnsi="Arial" w:cs="Arial"/>
      <w:b/>
      <w:bCs/>
      <w:iCs/>
      <w:color w:val="17365D" w:themeColor="text2" w:themeShade="BF"/>
      <w:sz w:val="28"/>
      <w:szCs w:val="28"/>
      <w:lang w:val="en-GB" w:eastAsia="el-GR"/>
    </w:rPr>
  </w:style>
  <w:style w:type="character" w:styleId="CommentReference">
    <w:name w:val="annotation reference"/>
    <w:basedOn w:val="DefaultParagraphFont"/>
    <w:uiPriority w:val="99"/>
    <w:semiHidden/>
    <w:unhideWhenUsed/>
    <w:rsid w:val="000F4095"/>
    <w:rPr>
      <w:sz w:val="16"/>
      <w:szCs w:val="16"/>
    </w:rPr>
  </w:style>
  <w:style w:type="paragraph" w:styleId="CommentText">
    <w:name w:val="annotation text"/>
    <w:basedOn w:val="Normal"/>
    <w:link w:val="CommentTextChar"/>
    <w:uiPriority w:val="99"/>
    <w:unhideWhenUsed/>
    <w:rsid w:val="000F4095"/>
    <w:pPr>
      <w:spacing w:line="240" w:lineRule="auto"/>
    </w:pPr>
    <w:rPr>
      <w:sz w:val="20"/>
      <w:szCs w:val="20"/>
    </w:rPr>
  </w:style>
  <w:style w:type="character" w:customStyle="1" w:styleId="CommentTextChar">
    <w:name w:val="Comment Text Char"/>
    <w:basedOn w:val="DefaultParagraphFont"/>
    <w:link w:val="CommentText"/>
    <w:uiPriority w:val="99"/>
    <w:rsid w:val="000F4095"/>
    <w:rPr>
      <w:sz w:val="20"/>
      <w:szCs w:val="20"/>
    </w:rPr>
  </w:style>
  <w:style w:type="paragraph" w:styleId="CommentSubject">
    <w:name w:val="annotation subject"/>
    <w:basedOn w:val="CommentText"/>
    <w:next w:val="CommentText"/>
    <w:link w:val="CommentSubjectChar"/>
    <w:uiPriority w:val="99"/>
    <w:semiHidden/>
    <w:unhideWhenUsed/>
    <w:rsid w:val="000F4095"/>
    <w:rPr>
      <w:b/>
      <w:bCs/>
    </w:rPr>
  </w:style>
  <w:style w:type="character" w:customStyle="1" w:styleId="CommentSubjectChar">
    <w:name w:val="Comment Subject Char"/>
    <w:basedOn w:val="CommentTextChar"/>
    <w:link w:val="CommentSubject"/>
    <w:uiPriority w:val="99"/>
    <w:semiHidden/>
    <w:rsid w:val="000F4095"/>
    <w:rPr>
      <w:b/>
      <w:bCs/>
      <w:sz w:val="20"/>
      <w:szCs w:val="20"/>
    </w:rPr>
  </w:style>
  <w:style w:type="paragraph" w:styleId="BalloonText">
    <w:name w:val="Balloon Text"/>
    <w:basedOn w:val="Normal"/>
    <w:link w:val="BalloonTextChar"/>
    <w:uiPriority w:val="99"/>
    <w:semiHidden/>
    <w:unhideWhenUsed/>
    <w:rsid w:val="000F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95"/>
    <w:rPr>
      <w:rFonts w:ascii="Tahoma" w:hAnsi="Tahoma" w:cs="Tahoma"/>
      <w:sz w:val="16"/>
      <w:szCs w:val="16"/>
    </w:rPr>
  </w:style>
  <w:style w:type="character" w:customStyle="1" w:styleId="Heading1Char">
    <w:name w:val="Heading 1 Char"/>
    <w:basedOn w:val="DefaultParagraphFont"/>
    <w:link w:val="Heading1"/>
    <w:uiPriority w:val="9"/>
    <w:rsid w:val="000126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2608"/>
    <w:pPr>
      <w:outlineLvl w:val="9"/>
    </w:pPr>
    <w:rPr>
      <w:lang w:val="en-US" w:eastAsia="ja-JP"/>
    </w:rPr>
  </w:style>
  <w:style w:type="paragraph" w:styleId="TOC1">
    <w:name w:val="toc 1"/>
    <w:basedOn w:val="Normal"/>
    <w:next w:val="Normal"/>
    <w:autoRedefine/>
    <w:uiPriority w:val="39"/>
    <w:unhideWhenUsed/>
    <w:rsid w:val="0007319B"/>
    <w:pPr>
      <w:spacing w:after="100"/>
    </w:pPr>
  </w:style>
  <w:style w:type="paragraph" w:styleId="TOC2">
    <w:name w:val="toc 2"/>
    <w:basedOn w:val="Normal"/>
    <w:next w:val="Normal"/>
    <w:autoRedefine/>
    <w:uiPriority w:val="39"/>
    <w:unhideWhenUsed/>
    <w:rsid w:val="0007319B"/>
    <w:pPr>
      <w:spacing w:after="100"/>
      <w:ind w:left="220"/>
    </w:pPr>
  </w:style>
  <w:style w:type="character" w:styleId="Hyperlink">
    <w:name w:val="Hyperlink"/>
    <w:basedOn w:val="DefaultParagraphFont"/>
    <w:uiPriority w:val="99"/>
    <w:unhideWhenUsed/>
    <w:rsid w:val="00073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1A89-9D72-4604-82B1-598A79E1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 Terzic</dc:creator>
  <cp:lastModifiedBy>Goran Babovic</cp:lastModifiedBy>
  <cp:revision>3</cp:revision>
  <cp:lastPrinted>2018-02-14T13:10:00Z</cp:lastPrinted>
  <dcterms:created xsi:type="dcterms:W3CDTF">2018-02-15T06:46:00Z</dcterms:created>
  <dcterms:modified xsi:type="dcterms:W3CDTF">2018-02-15T06:46:00Z</dcterms:modified>
</cp:coreProperties>
</file>