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902" w:rsidRPr="00275FBE" w:rsidRDefault="00032C63" w:rsidP="00E25902">
      <w:pPr>
        <w:autoSpaceDE/>
        <w:autoSpaceDN/>
        <w:adjustRightInd/>
        <w:ind w:left="8640"/>
        <w:jc w:val="both"/>
        <w:rPr>
          <w:rFonts w:ascii="Arial" w:eastAsia="Times New Roman" w:hAnsi="Arial" w:cs="Arial"/>
          <w:color w:val="auto"/>
          <w:sz w:val="24"/>
          <w:szCs w:val="24"/>
          <w:u w:val="single"/>
          <w:lang w:eastAsia="en-US"/>
        </w:rPr>
      </w:pPr>
      <w:r w:rsidRPr="00275FBE">
        <w:rPr>
          <w:rFonts w:ascii="Arial" w:hAnsi="Arial" w:cs="Arial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74295</wp:posOffset>
            </wp:positionV>
            <wp:extent cx="733425" cy="8477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280" w:rsidRPr="00275FBE" w:rsidRDefault="007D5280">
      <w:pPr>
        <w:pStyle w:val="N01Y"/>
        <w:rPr>
          <w:rFonts w:ascii="Arial" w:hAnsi="Arial" w:cs="Arial"/>
          <w:sz w:val="24"/>
          <w:szCs w:val="24"/>
        </w:rPr>
      </w:pPr>
    </w:p>
    <w:p w:rsidR="00DB64FD" w:rsidRPr="00275FBE" w:rsidRDefault="00DB64FD">
      <w:pPr>
        <w:pStyle w:val="N02Y"/>
        <w:rPr>
          <w:rFonts w:ascii="Arial" w:hAnsi="Arial" w:cs="Arial"/>
          <w:sz w:val="24"/>
          <w:szCs w:val="24"/>
        </w:rPr>
      </w:pPr>
    </w:p>
    <w:p w:rsidR="00DB64FD" w:rsidRPr="00275FBE" w:rsidRDefault="00DB64FD">
      <w:pPr>
        <w:pStyle w:val="N02Y"/>
        <w:rPr>
          <w:rFonts w:ascii="Arial" w:hAnsi="Arial" w:cs="Arial"/>
          <w:sz w:val="24"/>
          <w:szCs w:val="24"/>
        </w:rPr>
      </w:pPr>
    </w:p>
    <w:p w:rsidR="00E25902" w:rsidRPr="00275FBE" w:rsidRDefault="00F86D5D" w:rsidP="00760251">
      <w:pPr>
        <w:pStyle w:val="N02Y"/>
        <w:tabs>
          <w:tab w:val="left" w:pos="4785"/>
        </w:tabs>
        <w:ind w:firstLine="0"/>
        <w:rPr>
          <w:rFonts w:ascii="Arial" w:eastAsia="Times New Roman" w:hAnsi="Arial" w:cs="Arial"/>
          <w:color w:val="auto"/>
          <w:sz w:val="24"/>
          <w:szCs w:val="24"/>
          <w:lang w:eastAsia="en-US"/>
        </w:rPr>
      </w:pPr>
      <w:r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Na osnovu člana 4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7</w:t>
      </w:r>
      <w:r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 xml:space="preserve"> stav 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3</w:t>
      </w:r>
      <w:r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 xml:space="preserve">. Zakona o uređenju prostora i izgradnji objekata (''Službeni list Crne Gore'' broj 51/08, </w:t>
      </w:r>
      <w:r w:rsidRPr="00275FBE">
        <w:rPr>
          <w:rFonts w:ascii="Arial" w:eastAsia="Times New Roman" w:hAnsi="Arial" w:cs="Arial"/>
          <w:color w:val="auto"/>
          <w:sz w:val="24"/>
          <w:szCs w:val="24"/>
          <w:lang w:val="sl-SI" w:eastAsia="en-US"/>
        </w:rPr>
        <w:t>40/10, 34/11, 40/11, 47/11, 35/13, 39/13, 33/14</w:t>
      </w:r>
      <w:r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), u vezi sa članom 217 Zakona o planiranju prostora i izgradnji objekata („Službeni list CG“ broj  64/17 i 44/18</w:t>
      </w:r>
      <w:r w:rsidR="00C341BF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 xml:space="preserve">) </w:t>
      </w:r>
      <w:r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 xml:space="preserve">i </w:t>
      </w:r>
      <w:r w:rsidRPr="00275FBE">
        <w:rPr>
          <w:rFonts w:ascii="Arial" w:eastAsia="Times New Roman" w:hAnsi="Arial" w:cs="Arial"/>
          <w:color w:val="auto"/>
          <w:sz w:val="24"/>
          <w:szCs w:val="24"/>
          <w:lang w:val="sl-SI" w:eastAsia="en-US"/>
        </w:rPr>
        <w:t xml:space="preserve">člana </w:t>
      </w:r>
      <w:r w:rsidR="00275FBE">
        <w:rPr>
          <w:rFonts w:ascii="Arial" w:eastAsia="Times New Roman" w:hAnsi="Arial" w:cs="Arial"/>
          <w:color w:val="auto"/>
          <w:sz w:val="24"/>
          <w:szCs w:val="24"/>
          <w:lang w:val="sl-SI" w:eastAsia="en-US"/>
        </w:rPr>
        <w:t>35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val="sl-SI" w:eastAsia="en-US"/>
        </w:rPr>
        <w:t xml:space="preserve"> Statuta O</w:t>
      </w:r>
      <w:r w:rsidR="00275FBE">
        <w:rPr>
          <w:rFonts w:ascii="Arial" w:eastAsia="Times New Roman" w:hAnsi="Arial" w:cs="Arial"/>
          <w:color w:val="auto"/>
          <w:sz w:val="24"/>
          <w:szCs w:val="24"/>
          <w:lang w:val="sl-SI" w:eastAsia="en-US"/>
        </w:rPr>
        <w:t>pštine Tivat (</w:t>
      </w:r>
      <w:r w:rsidR="001B71A9" w:rsidRPr="00275FBE">
        <w:rPr>
          <w:rFonts w:ascii="Arial" w:eastAsia="Times New Roman" w:hAnsi="Arial" w:cs="Arial"/>
          <w:color w:val="auto"/>
          <w:sz w:val="24"/>
          <w:szCs w:val="24"/>
          <w:lang w:val="sl-SI" w:eastAsia="en-US"/>
        </w:rPr>
        <w:t>''</w:t>
      </w:r>
      <w:r w:rsidRPr="00275FBE">
        <w:rPr>
          <w:rFonts w:ascii="Arial" w:eastAsia="Times New Roman" w:hAnsi="Arial" w:cs="Arial"/>
          <w:color w:val="auto"/>
          <w:sz w:val="24"/>
          <w:szCs w:val="24"/>
          <w:lang w:val="sl-SI" w:eastAsia="en-US"/>
        </w:rPr>
        <w:t>Sl.list CG–opštinski propisi</w:t>
      </w:r>
      <w:r w:rsidR="001B71A9" w:rsidRPr="00275FBE">
        <w:rPr>
          <w:rFonts w:ascii="Arial" w:eastAsia="Times New Roman" w:hAnsi="Arial" w:cs="Arial"/>
          <w:color w:val="auto"/>
          <w:sz w:val="24"/>
          <w:szCs w:val="24"/>
          <w:lang w:val="sl-SI" w:eastAsia="en-US"/>
        </w:rPr>
        <w:t>''</w:t>
      </w:r>
      <w:r w:rsidRPr="00275FBE">
        <w:rPr>
          <w:rFonts w:ascii="Arial" w:eastAsia="Times New Roman" w:hAnsi="Arial" w:cs="Arial"/>
          <w:color w:val="auto"/>
          <w:sz w:val="24"/>
          <w:szCs w:val="24"/>
          <w:lang w:val="sl-SI" w:eastAsia="en-US"/>
        </w:rPr>
        <w:t>, br.</w:t>
      </w:r>
      <w:r w:rsidR="00275FBE">
        <w:rPr>
          <w:rFonts w:ascii="Arial" w:eastAsia="Times New Roman" w:hAnsi="Arial" w:cs="Arial"/>
          <w:color w:val="auto"/>
          <w:sz w:val="24"/>
          <w:szCs w:val="24"/>
          <w:lang w:val="sl-SI" w:eastAsia="en-US"/>
        </w:rPr>
        <w:t>24/18</w:t>
      </w:r>
      <w:r w:rsidRPr="00275FBE">
        <w:rPr>
          <w:rFonts w:ascii="Arial" w:eastAsia="Times New Roman" w:hAnsi="Arial" w:cs="Arial"/>
          <w:color w:val="auto"/>
          <w:sz w:val="24"/>
          <w:szCs w:val="24"/>
          <w:lang w:val="sl-SI" w:eastAsia="en-US"/>
        </w:rPr>
        <w:t>)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val="sl-SI" w:eastAsia="en-US"/>
        </w:rPr>
        <w:t xml:space="preserve">, 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Odluke o pristupanju izradi DUP-a “</w:t>
      </w:r>
      <w:r w:rsidR="00C341BF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Servisna zona Luštica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”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val="sr-Latn-CS" w:eastAsia="en-US"/>
        </w:rPr>
        <w:t xml:space="preserve"> 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 xml:space="preserve">(„Sl.list CG-opštinski propisi“ broj </w:t>
      </w:r>
      <w:r w:rsidR="001B71A9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35/15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)</w:t>
      </w:r>
      <w:r w:rsidR="001B71A9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 xml:space="preserve">, Odluke o </w:t>
      </w:r>
      <w:proofErr w:type="spellStart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>potrebi</w:t>
      </w:r>
      <w:proofErr w:type="spellEnd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 xml:space="preserve">  </w:t>
      </w:r>
      <w:proofErr w:type="spellStart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>izrade</w:t>
      </w:r>
      <w:proofErr w:type="spellEnd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 xml:space="preserve"> </w:t>
      </w:r>
      <w:proofErr w:type="spellStart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>strateške</w:t>
      </w:r>
      <w:proofErr w:type="spellEnd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 xml:space="preserve"> </w:t>
      </w:r>
      <w:proofErr w:type="spellStart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>procjene</w:t>
      </w:r>
      <w:proofErr w:type="spellEnd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 xml:space="preserve"> </w:t>
      </w:r>
      <w:proofErr w:type="spellStart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>uticaja</w:t>
      </w:r>
      <w:proofErr w:type="spellEnd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 xml:space="preserve"> </w:t>
      </w:r>
      <w:proofErr w:type="spellStart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>na</w:t>
      </w:r>
      <w:proofErr w:type="spellEnd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 xml:space="preserve"> </w:t>
      </w:r>
      <w:proofErr w:type="spellStart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>životnu</w:t>
      </w:r>
      <w:proofErr w:type="spellEnd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 xml:space="preserve"> </w:t>
      </w:r>
      <w:proofErr w:type="spellStart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>sredinu</w:t>
      </w:r>
      <w:proofErr w:type="spellEnd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 xml:space="preserve"> </w:t>
      </w:r>
      <w:proofErr w:type="spellStart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>za</w:t>
      </w:r>
      <w:proofErr w:type="spellEnd"/>
      <w:r w:rsidR="001B71A9" w:rsidRPr="00275FBE">
        <w:rPr>
          <w:rFonts w:ascii="Arial" w:eastAsia="Times New Roman" w:hAnsi="Arial" w:cs="Arial"/>
          <w:bCs/>
          <w:color w:val="auto"/>
          <w:sz w:val="24"/>
          <w:szCs w:val="24"/>
          <w:lang w:val="en-US" w:eastAsia="en-US"/>
        </w:rPr>
        <w:t xml:space="preserve"> </w:t>
      </w:r>
      <w:r w:rsidR="001B71A9" w:rsidRPr="00275FBE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DUP </w:t>
      </w:r>
      <w:r w:rsidR="001B71A9" w:rsidRPr="00275FBE">
        <w:rPr>
          <w:rFonts w:ascii="Arial" w:eastAsia="Times New Roman" w:hAnsi="Arial" w:cs="Arial"/>
          <w:color w:val="auto"/>
          <w:sz w:val="24"/>
          <w:szCs w:val="24"/>
          <w:lang w:val="sr-Latn-CS" w:eastAsia="en-US"/>
        </w:rPr>
        <w:t>„</w:t>
      </w:r>
      <w:r w:rsidR="001B71A9" w:rsidRPr="00275FBE">
        <w:rPr>
          <w:rFonts w:ascii="Arial" w:eastAsia="Lucida Sans Unicode" w:hAnsi="Arial" w:cs="Arial"/>
          <w:color w:val="auto"/>
          <w:kern w:val="1"/>
          <w:sz w:val="24"/>
          <w:szCs w:val="24"/>
          <w:lang w:eastAsia="en-US"/>
        </w:rPr>
        <w:t>Servisna zona Luštica</w:t>
      </w:r>
      <w:r w:rsidR="001B71A9" w:rsidRPr="00275FBE">
        <w:rPr>
          <w:rFonts w:ascii="Arial" w:eastAsia="Times New Roman" w:hAnsi="Arial" w:cs="Arial"/>
          <w:color w:val="auto"/>
          <w:sz w:val="24"/>
          <w:szCs w:val="24"/>
          <w:lang w:val="sr-Latn-CS" w:eastAsia="en-US"/>
        </w:rPr>
        <w:t>“</w:t>
      </w:r>
      <w:r w:rsidR="001B71A9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 xml:space="preserve"> („Sl.list CG“-opštinski propisi br.35/15)</w:t>
      </w:r>
      <w:r w:rsidR="00E25902" w:rsidRPr="00275FBE">
        <w:rPr>
          <w:rFonts w:ascii="Arial" w:eastAsia="Times New Roman" w:hAnsi="Arial" w:cs="Arial"/>
          <w:color w:val="FF0000"/>
          <w:sz w:val="24"/>
          <w:szCs w:val="24"/>
          <w:lang w:eastAsia="en-US"/>
        </w:rPr>
        <w:t xml:space="preserve"> 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i saglasnosti Ministarstva održivog razvoja i turizma, Direktorat za planiranje prostora, Podgorica, broj 104–</w:t>
      </w:r>
      <w:r w:rsidR="00B74B27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 xml:space="preserve">2765/9 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od</w:t>
      </w:r>
      <w:r w:rsidR="00116610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 xml:space="preserve"> </w:t>
      </w:r>
      <w:r w:rsidR="00B74B27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05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.</w:t>
      </w:r>
      <w:r w:rsidR="009A0558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11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 xml:space="preserve">.2018.godine, Skupština opštine Tivat, na sjednici održanoj dana </w:t>
      </w:r>
      <w:r w:rsidR="00243340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16</w:t>
      </w:r>
      <w:r w:rsidR="009A0558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.</w:t>
      </w:r>
      <w:r w:rsidR="00243340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11</w:t>
      </w:r>
      <w:r w:rsidR="00E25902" w:rsidRPr="00275FBE">
        <w:rPr>
          <w:rFonts w:ascii="Arial" w:eastAsia="Times New Roman" w:hAnsi="Arial" w:cs="Arial"/>
          <w:color w:val="auto"/>
          <w:sz w:val="24"/>
          <w:szCs w:val="24"/>
          <w:lang w:eastAsia="en-US"/>
        </w:rPr>
        <w:t>.2018. godine, donijela je</w:t>
      </w:r>
    </w:p>
    <w:p w:rsidR="00E25902" w:rsidRPr="00275FBE" w:rsidRDefault="00E25902">
      <w:pPr>
        <w:pStyle w:val="N03Y"/>
        <w:rPr>
          <w:rFonts w:ascii="Arial" w:hAnsi="Arial" w:cs="Arial"/>
          <w:sz w:val="24"/>
          <w:szCs w:val="24"/>
        </w:rPr>
      </w:pPr>
    </w:p>
    <w:p w:rsidR="007D5280" w:rsidRPr="00275FBE" w:rsidRDefault="007D5280">
      <w:pPr>
        <w:pStyle w:val="N03Y"/>
        <w:rPr>
          <w:rFonts w:ascii="Arial" w:hAnsi="Arial" w:cs="Arial"/>
          <w:sz w:val="24"/>
          <w:szCs w:val="24"/>
        </w:rPr>
      </w:pPr>
      <w:r w:rsidRPr="00275FBE">
        <w:rPr>
          <w:rFonts w:ascii="Arial" w:hAnsi="Arial" w:cs="Arial"/>
          <w:sz w:val="24"/>
          <w:szCs w:val="24"/>
        </w:rPr>
        <w:t>ODLUKA</w:t>
      </w:r>
    </w:p>
    <w:p w:rsidR="00E25902" w:rsidRPr="00275FBE" w:rsidRDefault="007D5280" w:rsidP="00E25902">
      <w:pPr>
        <w:pStyle w:val="N03Y"/>
        <w:spacing w:before="0" w:after="0"/>
        <w:rPr>
          <w:rFonts w:ascii="Arial" w:hAnsi="Arial" w:cs="Arial"/>
          <w:sz w:val="24"/>
          <w:szCs w:val="24"/>
        </w:rPr>
      </w:pPr>
      <w:r w:rsidRPr="00275FBE">
        <w:rPr>
          <w:rFonts w:ascii="Arial" w:hAnsi="Arial" w:cs="Arial"/>
          <w:sz w:val="24"/>
          <w:szCs w:val="24"/>
        </w:rPr>
        <w:t>o donošenju Detaljnog urbanističkog plana</w:t>
      </w:r>
    </w:p>
    <w:p w:rsidR="007D5280" w:rsidRPr="00275FBE" w:rsidRDefault="007D5280" w:rsidP="00E25902">
      <w:pPr>
        <w:pStyle w:val="N03Y"/>
        <w:spacing w:before="0" w:after="0"/>
        <w:rPr>
          <w:rFonts w:ascii="Arial" w:hAnsi="Arial" w:cs="Arial"/>
          <w:sz w:val="24"/>
          <w:szCs w:val="24"/>
        </w:rPr>
      </w:pPr>
      <w:r w:rsidRPr="00275FBE">
        <w:rPr>
          <w:rFonts w:ascii="Arial" w:hAnsi="Arial" w:cs="Arial"/>
          <w:sz w:val="24"/>
          <w:szCs w:val="24"/>
        </w:rPr>
        <w:t xml:space="preserve"> "</w:t>
      </w:r>
      <w:r w:rsidR="00C341BF" w:rsidRPr="00275FBE">
        <w:rPr>
          <w:rFonts w:ascii="Arial" w:hAnsi="Arial" w:cs="Arial"/>
          <w:sz w:val="24"/>
          <w:szCs w:val="24"/>
        </w:rPr>
        <w:t>Servisna zona Luštica</w:t>
      </w:r>
      <w:r w:rsidRPr="00275FBE">
        <w:rPr>
          <w:rFonts w:ascii="Arial" w:hAnsi="Arial" w:cs="Arial"/>
          <w:sz w:val="24"/>
          <w:szCs w:val="24"/>
        </w:rPr>
        <w:t>"</w:t>
      </w:r>
    </w:p>
    <w:p w:rsidR="007D5280" w:rsidRPr="00275FBE" w:rsidRDefault="007D5280">
      <w:pPr>
        <w:pStyle w:val="C30X"/>
        <w:rPr>
          <w:rFonts w:ascii="Arial" w:hAnsi="Arial" w:cs="Arial"/>
        </w:rPr>
      </w:pPr>
      <w:r w:rsidRPr="00275FBE">
        <w:rPr>
          <w:rFonts w:ascii="Arial" w:hAnsi="Arial" w:cs="Arial"/>
        </w:rPr>
        <w:t>Član 1</w:t>
      </w:r>
    </w:p>
    <w:p w:rsidR="007D5280" w:rsidRPr="00275FBE" w:rsidRDefault="007D5280" w:rsidP="00760251">
      <w:pPr>
        <w:pStyle w:val="T30X"/>
        <w:ind w:firstLine="720"/>
        <w:rPr>
          <w:rFonts w:ascii="Arial" w:hAnsi="Arial" w:cs="Arial"/>
          <w:sz w:val="24"/>
          <w:szCs w:val="24"/>
        </w:rPr>
      </w:pPr>
      <w:r w:rsidRPr="00275FBE">
        <w:rPr>
          <w:rFonts w:ascii="Arial" w:hAnsi="Arial" w:cs="Arial"/>
          <w:sz w:val="24"/>
          <w:szCs w:val="24"/>
        </w:rPr>
        <w:t>Ovom Odlukom donosi se Detaljni urbanistički plan</w:t>
      </w:r>
      <w:r w:rsidR="008B3BF1" w:rsidRPr="00275FBE">
        <w:rPr>
          <w:rFonts w:ascii="Arial" w:hAnsi="Arial" w:cs="Arial"/>
          <w:sz w:val="24"/>
          <w:szCs w:val="24"/>
        </w:rPr>
        <w:t xml:space="preserve"> "</w:t>
      </w:r>
      <w:r w:rsidR="00C341BF" w:rsidRPr="00275FBE">
        <w:rPr>
          <w:rFonts w:ascii="Arial" w:hAnsi="Arial" w:cs="Arial"/>
          <w:sz w:val="24"/>
          <w:szCs w:val="24"/>
        </w:rPr>
        <w:t>Servisna zona Luštica</w:t>
      </w:r>
      <w:r w:rsidR="008B3BF1" w:rsidRPr="00275FBE">
        <w:rPr>
          <w:rFonts w:ascii="Arial" w:hAnsi="Arial" w:cs="Arial"/>
          <w:sz w:val="24"/>
          <w:szCs w:val="24"/>
        </w:rPr>
        <w:t xml:space="preserve">" </w:t>
      </w:r>
      <w:r w:rsidRPr="00275FBE">
        <w:rPr>
          <w:rFonts w:ascii="Arial" w:hAnsi="Arial" w:cs="Arial"/>
          <w:sz w:val="24"/>
          <w:szCs w:val="24"/>
        </w:rPr>
        <w:t>(u daljem tekstu Plan). Obrađivač Plana je "</w:t>
      </w:r>
      <w:r w:rsidR="00C341BF" w:rsidRPr="00275FBE">
        <w:rPr>
          <w:rFonts w:ascii="Arial" w:hAnsi="Arial" w:cs="Arial"/>
          <w:sz w:val="24"/>
          <w:szCs w:val="24"/>
        </w:rPr>
        <w:t>URBI.PRO</w:t>
      </w:r>
      <w:r w:rsidRPr="00275FBE">
        <w:rPr>
          <w:rFonts w:ascii="Arial" w:hAnsi="Arial" w:cs="Arial"/>
          <w:sz w:val="24"/>
          <w:szCs w:val="24"/>
        </w:rPr>
        <w:t xml:space="preserve">" </w:t>
      </w:r>
      <w:r w:rsidR="008B3BF1" w:rsidRPr="00275FBE">
        <w:rPr>
          <w:rFonts w:ascii="Arial" w:hAnsi="Arial" w:cs="Arial"/>
          <w:sz w:val="24"/>
          <w:szCs w:val="24"/>
        </w:rPr>
        <w:t>doo</w:t>
      </w:r>
      <w:r w:rsidRPr="00275FBE">
        <w:rPr>
          <w:rFonts w:ascii="Arial" w:hAnsi="Arial" w:cs="Arial"/>
          <w:sz w:val="24"/>
          <w:szCs w:val="24"/>
        </w:rPr>
        <w:t xml:space="preserve"> iz </w:t>
      </w:r>
      <w:r w:rsidR="008B3BF1" w:rsidRPr="00275FBE">
        <w:rPr>
          <w:rFonts w:ascii="Arial" w:hAnsi="Arial" w:cs="Arial"/>
          <w:sz w:val="24"/>
          <w:szCs w:val="24"/>
        </w:rPr>
        <w:t>Podgorice</w:t>
      </w:r>
      <w:r w:rsidRPr="00275FBE">
        <w:rPr>
          <w:rFonts w:ascii="Arial" w:hAnsi="Arial" w:cs="Arial"/>
          <w:sz w:val="24"/>
          <w:szCs w:val="24"/>
        </w:rPr>
        <w:t>.</w:t>
      </w:r>
    </w:p>
    <w:p w:rsidR="007D5280" w:rsidRPr="00275FBE" w:rsidRDefault="007D5280">
      <w:pPr>
        <w:pStyle w:val="C30X"/>
        <w:rPr>
          <w:rFonts w:ascii="Arial" w:hAnsi="Arial" w:cs="Arial"/>
        </w:rPr>
      </w:pPr>
      <w:r w:rsidRPr="00275FBE">
        <w:rPr>
          <w:rFonts w:ascii="Arial" w:hAnsi="Arial" w:cs="Arial"/>
        </w:rPr>
        <w:t>Član 2</w:t>
      </w:r>
    </w:p>
    <w:p w:rsidR="007D5280" w:rsidRPr="00275FBE" w:rsidRDefault="007D5280" w:rsidP="00E25902">
      <w:pPr>
        <w:pStyle w:val="T30X"/>
        <w:ind w:firstLine="851"/>
        <w:rPr>
          <w:rFonts w:ascii="Arial" w:hAnsi="Arial" w:cs="Arial"/>
          <w:color w:val="auto"/>
          <w:sz w:val="24"/>
          <w:szCs w:val="24"/>
        </w:rPr>
      </w:pPr>
      <w:r w:rsidRPr="00275FBE">
        <w:rPr>
          <w:rFonts w:ascii="Arial" w:hAnsi="Arial" w:cs="Arial"/>
          <w:sz w:val="24"/>
          <w:szCs w:val="24"/>
        </w:rPr>
        <w:t xml:space="preserve">Planom je obuhvaćeno područje </w:t>
      </w:r>
      <w:r w:rsidRPr="00275FBE">
        <w:rPr>
          <w:rFonts w:ascii="Arial" w:hAnsi="Arial" w:cs="Arial"/>
          <w:color w:val="auto"/>
          <w:sz w:val="24"/>
          <w:szCs w:val="24"/>
        </w:rPr>
        <w:t xml:space="preserve">površine </w:t>
      </w:r>
      <w:r w:rsidR="001B71A9" w:rsidRPr="00275FBE">
        <w:rPr>
          <w:rFonts w:ascii="Arial" w:hAnsi="Arial" w:cs="Arial"/>
          <w:color w:val="auto"/>
          <w:sz w:val="24"/>
          <w:szCs w:val="24"/>
        </w:rPr>
        <w:t>6,97</w:t>
      </w:r>
      <w:r w:rsidRPr="00275FBE">
        <w:rPr>
          <w:rFonts w:ascii="Arial" w:hAnsi="Arial" w:cs="Arial"/>
          <w:color w:val="auto"/>
          <w:sz w:val="24"/>
          <w:szCs w:val="24"/>
        </w:rPr>
        <w:t xml:space="preserve"> ha.</w:t>
      </w:r>
    </w:p>
    <w:p w:rsidR="00690321" w:rsidRPr="00275FBE" w:rsidRDefault="00293061" w:rsidP="00690321">
      <w:pPr>
        <w:pStyle w:val="T30X"/>
        <w:jc w:val="center"/>
        <w:rPr>
          <w:rFonts w:ascii="Arial" w:hAnsi="Arial" w:cs="Arial"/>
          <w:noProof/>
          <w:sz w:val="24"/>
          <w:szCs w:val="24"/>
        </w:rPr>
      </w:pPr>
      <w:r w:rsidRPr="00275FBE">
        <w:rPr>
          <w:rFonts w:ascii="Arial" w:hAnsi="Arial" w:cs="Arial"/>
          <w:noProof/>
          <w:sz w:val="24"/>
          <w:szCs w:val="24"/>
        </w:rPr>
        <w:object w:dxaOrig="25935" w:dyaOrig="21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25pt;height:365.25pt" o:ole="">
            <v:imagedata r:id="rId9" o:title="" croptop="4656f" cropbottom="8237f" cropleft="991f" cropright="23840f"/>
          </v:shape>
          <o:OLEObject Type="Embed" ProgID="AcroExch.Document.DC" ShapeID="_x0000_i1025" DrawAspect="Content" ObjectID="_1604382564" r:id="rId10"/>
        </w:object>
      </w:r>
    </w:p>
    <w:p w:rsidR="00690321" w:rsidRPr="00275FBE" w:rsidRDefault="00690321" w:rsidP="00690321">
      <w:pPr>
        <w:pStyle w:val="T30X"/>
        <w:jc w:val="center"/>
        <w:rPr>
          <w:rFonts w:ascii="Arial" w:hAnsi="Arial" w:cs="Arial"/>
          <w:i/>
          <w:sz w:val="24"/>
          <w:szCs w:val="24"/>
        </w:rPr>
      </w:pPr>
      <w:r w:rsidRPr="00275FBE">
        <w:rPr>
          <w:rFonts w:ascii="Arial" w:hAnsi="Arial" w:cs="Arial"/>
          <w:i/>
          <w:sz w:val="24"/>
          <w:szCs w:val="24"/>
        </w:rPr>
        <w:t>granica obuhvata plana</w:t>
      </w:r>
    </w:p>
    <w:p w:rsidR="00690321" w:rsidRPr="00275FBE" w:rsidRDefault="00690321" w:rsidP="00690321">
      <w:pPr>
        <w:rPr>
          <w:rFonts w:ascii="Arial" w:hAnsi="Arial" w:cs="Arial"/>
          <w:b/>
          <w:bCs/>
          <w:color w:val="auto"/>
          <w:sz w:val="24"/>
          <w:szCs w:val="24"/>
        </w:rPr>
      </w:pPr>
    </w:p>
    <w:p w:rsidR="001B71A9" w:rsidRPr="00275FBE" w:rsidRDefault="001B71A9" w:rsidP="00690321">
      <w:pPr>
        <w:rPr>
          <w:rFonts w:ascii="Arial" w:hAnsi="Arial" w:cs="Arial"/>
          <w:bCs/>
          <w:color w:val="auto"/>
          <w:sz w:val="24"/>
          <w:szCs w:val="24"/>
        </w:rPr>
      </w:pPr>
    </w:p>
    <w:p w:rsidR="00293061" w:rsidRPr="00275FBE" w:rsidRDefault="00293061" w:rsidP="00690321">
      <w:pPr>
        <w:rPr>
          <w:rFonts w:ascii="Arial" w:hAnsi="Arial" w:cs="Arial"/>
          <w:bCs/>
          <w:color w:val="auto"/>
          <w:sz w:val="24"/>
          <w:szCs w:val="24"/>
        </w:rPr>
      </w:pPr>
    </w:p>
    <w:p w:rsidR="00690321" w:rsidRPr="00275FBE" w:rsidRDefault="00690321" w:rsidP="00D84A69">
      <w:pPr>
        <w:ind w:firstLine="720"/>
        <w:rPr>
          <w:rFonts w:ascii="Arial" w:hAnsi="Arial" w:cs="Arial"/>
          <w:bCs/>
          <w:color w:val="auto"/>
          <w:sz w:val="24"/>
          <w:szCs w:val="24"/>
        </w:rPr>
      </w:pPr>
      <w:r w:rsidRPr="00275FBE">
        <w:rPr>
          <w:rFonts w:ascii="Arial" w:hAnsi="Arial" w:cs="Arial"/>
          <w:bCs/>
          <w:color w:val="auto"/>
          <w:sz w:val="24"/>
          <w:szCs w:val="24"/>
        </w:rPr>
        <w:t xml:space="preserve">Koordinate </w:t>
      </w:r>
      <w:r w:rsidR="001A03A8" w:rsidRPr="00275FBE">
        <w:rPr>
          <w:rFonts w:ascii="Arial" w:hAnsi="Arial" w:cs="Arial"/>
          <w:bCs/>
          <w:color w:val="auto"/>
          <w:sz w:val="24"/>
          <w:szCs w:val="24"/>
        </w:rPr>
        <w:t>lomnih tačaka linije granice Plan</w:t>
      </w:r>
      <w:r w:rsidRPr="00275FBE">
        <w:rPr>
          <w:rFonts w:ascii="Arial" w:hAnsi="Arial" w:cs="Arial"/>
          <w:bCs/>
          <w:color w:val="auto"/>
          <w:sz w:val="24"/>
          <w:szCs w:val="24"/>
        </w:rPr>
        <w:t>a</w:t>
      </w:r>
      <w:r w:rsidR="001A03A8" w:rsidRPr="00275FBE">
        <w:rPr>
          <w:rFonts w:ascii="Arial" w:hAnsi="Arial" w:cs="Arial"/>
          <w:bCs/>
          <w:color w:val="auto"/>
          <w:sz w:val="24"/>
          <w:szCs w:val="24"/>
        </w:rPr>
        <w:t>, sve u KO Radovići:</w:t>
      </w:r>
    </w:p>
    <w:p w:rsidR="00690321" w:rsidRPr="00275FBE" w:rsidRDefault="00690321" w:rsidP="00690321">
      <w:pPr>
        <w:rPr>
          <w:rFonts w:ascii="Arial" w:hAnsi="Arial" w:cs="Arial"/>
          <w:color w:val="auto"/>
          <w:sz w:val="24"/>
          <w:szCs w:val="24"/>
        </w:rPr>
      </w:pPr>
    </w:p>
    <w:p w:rsidR="00690321" w:rsidRPr="00275FBE" w:rsidRDefault="00690321" w:rsidP="00690321">
      <w:pPr>
        <w:rPr>
          <w:rFonts w:ascii="Arial" w:hAnsi="Arial" w:cs="Arial"/>
          <w:color w:val="auto"/>
          <w:sz w:val="24"/>
          <w:szCs w:val="24"/>
        </w:rPr>
        <w:sectPr w:rsidR="00690321" w:rsidRPr="00275FBE" w:rsidSect="001A03A8">
          <w:footerReference w:type="even" r:id="rId11"/>
          <w:footerReference w:type="default" r:id="rId12"/>
          <w:pgSz w:w="11906" w:h="16838"/>
          <w:pgMar w:top="426" w:right="850" w:bottom="850" w:left="850" w:header="567" w:footer="352" w:gutter="0"/>
          <w:pgNumType w:start="1"/>
          <w:cols w:space="720"/>
          <w:noEndnote/>
        </w:sectPr>
      </w:pPr>
    </w:p>
    <w:p w:rsidR="00690321" w:rsidRPr="00275FBE" w:rsidRDefault="001B71A9">
      <w:pPr>
        <w:pStyle w:val="N01X"/>
        <w:rPr>
          <w:rFonts w:ascii="Arial" w:hAnsi="Arial" w:cs="Arial"/>
          <w:color w:val="FF0000"/>
          <w:highlight w:val="yellow"/>
        </w:rPr>
        <w:sectPr w:rsidR="00690321" w:rsidRPr="00275FBE" w:rsidSect="001B71A9">
          <w:type w:val="continuous"/>
          <w:pgSz w:w="11906" w:h="16838"/>
          <w:pgMar w:top="426" w:right="850" w:bottom="850" w:left="850" w:header="567" w:footer="352" w:gutter="0"/>
          <w:pgNumType w:start="1"/>
          <w:cols w:space="720"/>
          <w:noEndnote/>
        </w:sectPr>
      </w:pPr>
      <w:r w:rsidRPr="00275FBE">
        <w:rPr>
          <w:rFonts w:ascii="Arial" w:hAnsi="Arial" w:cs="Arial"/>
          <w:noProof/>
          <w:lang w:val="sr-Latn-ME" w:eastAsia="sr-Latn-ME"/>
        </w:rPr>
        <w:lastRenderedPageBreak/>
        <w:drawing>
          <wp:inline distT="0" distB="0" distL="0" distR="0" wp14:anchorId="57A2E549" wp14:editId="1F430DCB">
            <wp:extent cx="6276975" cy="59625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6" t="27597" r="37675" b="2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21" cy="596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69" w:rsidRPr="00275FBE" w:rsidRDefault="00D84A69" w:rsidP="008B3BF1">
      <w:pPr>
        <w:pStyle w:val="C30X"/>
        <w:tabs>
          <w:tab w:val="left" w:pos="7215"/>
        </w:tabs>
        <w:rPr>
          <w:rFonts w:ascii="Arial" w:hAnsi="Arial" w:cs="Arial"/>
        </w:rPr>
      </w:pPr>
    </w:p>
    <w:p w:rsidR="007D5280" w:rsidRPr="00275FBE" w:rsidRDefault="008B3BF1" w:rsidP="008B3BF1">
      <w:pPr>
        <w:pStyle w:val="C30X"/>
        <w:tabs>
          <w:tab w:val="left" w:pos="7215"/>
        </w:tabs>
        <w:rPr>
          <w:rFonts w:ascii="Arial" w:hAnsi="Arial" w:cs="Arial"/>
        </w:rPr>
      </w:pPr>
      <w:r w:rsidRPr="00275FBE">
        <w:rPr>
          <w:rFonts w:ascii="Arial" w:hAnsi="Arial" w:cs="Arial"/>
        </w:rPr>
        <w:t>Č</w:t>
      </w:r>
      <w:r w:rsidR="007D5280" w:rsidRPr="00275FBE">
        <w:rPr>
          <w:rFonts w:ascii="Arial" w:hAnsi="Arial" w:cs="Arial"/>
        </w:rPr>
        <w:t>lan 3</w:t>
      </w:r>
    </w:p>
    <w:p w:rsidR="007D5280" w:rsidRPr="00275FBE" w:rsidRDefault="007D5280" w:rsidP="001A03A8">
      <w:pPr>
        <w:pStyle w:val="T30X"/>
        <w:ind w:firstLine="720"/>
        <w:rPr>
          <w:rFonts w:ascii="Arial" w:hAnsi="Arial" w:cs="Arial"/>
          <w:sz w:val="24"/>
          <w:szCs w:val="24"/>
        </w:rPr>
      </w:pPr>
      <w:r w:rsidRPr="00275FBE">
        <w:rPr>
          <w:rFonts w:ascii="Arial" w:hAnsi="Arial" w:cs="Arial"/>
          <w:sz w:val="24"/>
          <w:szCs w:val="24"/>
        </w:rPr>
        <w:t>Plan se donosi za period do 2020. godine.</w:t>
      </w:r>
    </w:p>
    <w:p w:rsidR="007D5280" w:rsidRPr="00275FBE" w:rsidRDefault="007D5280">
      <w:pPr>
        <w:pStyle w:val="C30X"/>
        <w:rPr>
          <w:rFonts w:ascii="Arial" w:hAnsi="Arial" w:cs="Arial"/>
        </w:rPr>
      </w:pPr>
      <w:r w:rsidRPr="00275FBE">
        <w:rPr>
          <w:rFonts w:ascii="Arial" w:hAnsi="Arial" w:cs="Arial"/>
        </w:rPr>
        <w:t>Član 4</w:t>
      </w:r>
    </w:p>
    <w:p w:rsidR="00D84A69" w:rsidRPr="00275FBE" w:rsidRDefault="00D84A69" w:rsidP="009A0558">
      <w:pPr>
        <w:autoSpaceDE/>
        <w:autoSpaceDN/>
        <w:adjustRightInd/>
        <w:ind w:firstLine="720"/>
        <w:jc w:val="both"/>
        <w:rPr>
          <w:rFonts w:ascii="Arial" w:eastAsia="Times New Roman" w:hAnsi="Arial" w:cs="Arial"/>
          <w:color w:val="auto"/>
          <w:sz w:val="24"/>
          <w:szCs w:val="24"/>
          <w:lang w:val="pl-PL" w:eastAsia="en-US"/>
        </w:rPr>
      </w:pPr>
      <w:r w:rsidRPr="00275FBE">
        <w:rPr>
          <w:rFonts w:ascii="Arial" w:eastAsia="Times New Roman" w:hAnsi="Arial" w:cs="Arial"/>
          <w:color w:val="auto"/>
          <w:sz w:val="24"/>
          <w:szCs w:val="24"/>
          <w:lang w:val="sr-Latn-CS" w:eastAsia="en-US"/>
        </w:rPr>
        <w:t>Planirana namjena u okviru zahvata predmetnog Plana je sljedeća: p</w:t>
      </w:r>
      <w:r w:rsidRPr="00275FBE">
        <w:rPr>
          <w:rFonts w:ascii="Arial" w:eastAsia="Times New Roman" w:hAnsi="Arial" w:cs="Arial"/>
          <w:color w:val="auto"/>
          <w:sz w:val="24"/>
          <w:szCs w:val="24"/>
          <w:lang w:val="pl-PL" w:eastAsia="en-US"/>
        </w:rPr>
        <w:t>ovršine za industriju i proizvodnju, p</w:t>
      </w:r>
      <w:proofErr w:type="spellStart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>ovršine</w:t>
      </w:r>
      <w:proofErr w:type="spellEnd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>za</w:t>
      </w:r>
      <w:proofErr w:type="spellEnd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>obradu</w:t>
      </w:r>
      <w:proofErr w:type="spellEnd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, </w:t>
      </w:r>
      <w:proofErr w:type="spellStart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>sanaciju</w:t>
      </w:r>
      <w:proofErr w:type="spellEnd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>i</w:t>
      </w:r>
      <w:proofErr w:type="spellEnd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>skladištenje</w:t>
      </w:r>
      <w:proofErr w:type="spellEnd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>otpada</w:t>
      </w:r>
      <w:proofErr w:type="spellEnd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, </w:t>
      </w:r>
      <w:proofErr w:type="spellStart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>površine</w:t>
      </w:r>
      <w:proofErr w:type="spellEnd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>za</w:t>
      </w:r>
      <w:proofErr w:type="spellEnd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sport </w:t>
      </w:r>
      <w:proofErr w:type="spellStart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>i</w:t>
      </w:r>
      <w:proofErr w:type="spellEnd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>rekreaciju</w:t>
      </w:r>
      <w:proofErr w:type="spellEnd"/>
      <w:r w:rsidRPr="00275FBE">
        <w:rPr>
          <w:rFonts w:ascii="Arial" w:eastAsia="Times New Roman" w:hAnsi="Arial" w:cs="Arial"/>
          <w:sz w:val="24"/>
          <w:szCs w:val="24"/>
          <w:lang w:val="en-US" w:eastAsia="en-US"/>
        </w:rPr>
        <w:t>, o</w:t>
      </w:r>
      <w:r w:rsidRPr="00275FBE">
        <w:rPr>
          <w:rFonts w:ascii="Arial" w:eastAsia="Times New Roman" w:hAnsi="Arial" w:cs="Arial"/>
          <w:color w:val="auto"/>
          <w:sz w:val="24"/>
          <w:szCs w:val="24"/>
          <w:lang w:val="pl-PL" w:eastAsia="en-US"/>
        </w:rPr>
        <w:t>bjekti elektroenergetske infrastrukture, objekti hidrotehničke infrastrukture, površina specijalne namjene i saobraćajne površine.</w:t>
      </w:r>
    </w:p>
    <w:p w:rsidR="007D5280" w:rsidRPr="00275FBE" w:rsidRDefault="007D5280" w:rsidP="001A03A8">
      <w:pPr>
        <w:pStyle w:val="T30X"/>
        <w:ind w:firstLine="720"/>
        <w:rPr>
          <w:rFonts w:ascii="Arial" w:hAnsi="Arial" w:cs="Arial"/>
          <w:color w:val="FF0000"/>
          <w:sz w:val="24"/>
          <w:szCs w:val="24"/>
        </w:rPr>
      </w:pPr>
    </w:p>
    <w:p w:rsidR="007D5280" w:rsidRPr="00275FBE" w:rsidRDefault="007D5280">
      <w:pPr>
        <w:pStyle w:val="C30X"/>
        <w:rPr>
          <w:rFonts w:ascii="Arial" w:hAnsi="Arial" w:cs="Arial"/>
        </w:rPr>
      </w:pPr>
      <w:r w:rsidRPr="00275FBE">
        <w:rPr>
          <w:rFonts w:ascii="Arial" w:hAnsi="Arial" w:cs="Arial"/>
        </w:rPr>
        <w:t>Član 5</w:t>
      </w:r>
    </w:p>
    <w:p w:rsidR="007D5280" w:rsidRPr="00275FBE" w:rsidRDefault="007D5280" w:rsidP="001A03A8">
      <w:pPr>
        <w:pStyle w:val="T30X"/>
        <w:ind w:firstLine="720"/>
        <w:rPr>
          <w:rFonts w:ascii="Arial" w:hAnsi="Arial" w:cs="Arial"/>
          <w:sz w:val="24"/>
          <w:szCs w:val="24"/>
        </w:rPr>
      </w:pPr>
      <w:r w:rsidRPr="00275FBE">
        <w:rPr>
          <w:rFonts w:ascii="Arial" w:hAnsi="Arial" w:cs="Arial"/>
          <w:sz w:val="24"/>
          <w:szCs w:val="24"/>
        </w:rPr>
        <w:t>Komunalno opremanje građevinsko</w:t>
      </w:r>
      <w:r w:rsidR="002F36BA" w:rsidRPr="00275FBE">
        <w:rPr>
          <w:rFonts w:ascii="Arial" w:hAnsi="Arial" w:cs="Arial"/>
          <w:sz w:val="24"/>
          <w:szCs w:val="24"/>
        </w:rPr>
        <w:t>g zemljišta vrši</w:t>
      </w:r>
      <w:r w:rsidRPr="00275FBE">
        <w:rPr>
          <w:rFonts w:ascii="Arial" w:hAnsi="Arial" w:cs="Arial"/>
          <w:sz w:val="24"/>
          <w:szCs w:val="24"/>
        </w:rPr>
        <w:t>će se u skladu sa postavkama Plana prema Zakonu o planiranju prostora i izgradnji objekata.</w:t>
      </w:r>
    </w:p>
    <w:p w:rsidR="00D84A69" w:rsidRPr="00275FBE" w:rsidRDefault="00D84A69" w:rsidP="001A03A8">
      <w:pPr>
        <w:pStyle w:val="T30X"/>
        <w:ind w:firstLine="720"/>
        <w:rPr>
          <w:rFonts w:ascii="Arial" w:hAnsi="Arial" w:cs="Arial"/>
          <w:sz w:val="24"/>
          <w:szCs w:val="24"/>
        </w:rPr>
      </w:pPr>
    </w:p>
    <w:p w:rsidR="00D84A69" w:rsidRPr="00275FBE" w:rsidRDefault="00D84A69" w:rsidP="001A03A8">
      <w:pPr>
        <w:pStyle w:val="T30X"/>
        <w:ind w:firstLine="720"/>
        <w:rPr>
          <w:rFonts w:ascii="Arial" w:hAnsi="Arial" w:cs="Arial"/>
          <w:sz w:val="24"/>
          <w:szCs w:val="24"/>
        </w:rPr>
      </w:pPr>
    </w:p>
    <w:p w:rsidR="00D84A69" w:rsidRPr="00275FBE" w:rsidRDefault="00D84A69" w:rsidP="001A03A8">
      <w:pPr>
        <w:pStyle w:val="T30X"/>
        <w:ind w:firstLine="720"/>
        <w:rPr>
          <w:rFonts w:ascii="Arial" w:hAnsi="Arial" w:cs="Arial"/>
          <w:sz w:val="24"/>
          <w:szCs w:val="24"/>
        </w:rPr>
      </w:pPr>
    </w:p>
    <w:p w:rsidR="007D5280" w:rsidRPr="00275FBE" w:rsidRDefault="007D5280">
      <w:pPr>
        <w:pStyle w:val="C30X"/>
        <w:rPr>
          <w:rFonts w:ascii="Arial" w:hAnsi="Arial" w:cs="Arial"/>
        </w:rPr>
      </w:pPr>
      <w:r w:rsidRPr="00275FBE">
        <w:rPr>
          <w:rFonts w:ascii="Arial" w:hAnsi="Arial" w:cs="Arial"/>
        </w:rPr>
        <w:t>Član 6</w:t>
      </w:r>
    </w:p>
    <w:p w:rsidR="007D5280" w:rsidRPr="00275FBE" w:rsidRDefault="007D5280" w:rsidP="001A03A8">
      <w:pPr>
        <w:pStyle w:val="T30X"/>
        <w:ind w:firstLine="720"/>
        <w:rPr>
          <w:rFonts w:ascii="Arial" w:hAnsi="Arial" w:cs="Arial"/>
          <w:sz w:val="24"/>
          <w:szCs w:val="24"/>
        </w:rPr>
      </w:pPr>
      <w:r w:rsidRPr="00275FBE">
        <w:rPr>
          <w:rFonts w:ascii="Arial" w:hAnsi="Arial" w:cs="Arial"/>
          <w:sz w:val="24"/>
          <w:szCs w:val="24"/>
        </w:rPr>
        <w:t>Za realizaciju Plana starat će se organi lokalne i državne uprave nadležni za poslove uređenja prostora, izgradnje objekata i zaštitu životne sredine.</w:t>
      </w:r>
    </w:p>
    <w:p w:rsidR="00D84A69" w:rsidRPr="00275FBE" w:rsidRDefault="00D84A69" w:rsidP="001A03A8">
      <w:pPr>
        <w:pStyle w:val="T30X"/>
        <w:ind w:firstLine="720"/>
        <w:rPr>
          <w:rFonts w:ascii="Arial" w:hAnsi="Arial" w:cs="Arial"/>
          <w:sz w:val="24"/>
          <w:szCs w:val="24"/>
        </w:rPr>
      </w:pPr>
    </w:p>
    <w:p w:rsidR="007D5280" w:rsidRPr="00275FBE" w:rsidRDefault="007D5280">
      <w:pPr>
        <w:pStyle w:val="C30X"/>
        <w:rPr>
          <w:rFonts w:ascii="Arial" w:hAnsi="Arial" w:cs="Arial"/>
        </w:rPr>
      </w:pPr>
      <w:r w:rsidRPr="00275FBE">
        <w:rPr>
          <w:rFonts w:ascii="Arial" w:hAnsi="Arial" w:cs="Arial"/>
        </w:rPr>
        <w:t>Član 7</w:t>
      </w:r>
    </w:p>
    <w:p w:rsidR="007D5280" w:rsidRPr="00275FBE" w:rsidRDefault="007D5280" w:rsidP="001A03A8">
      <w:pPr>
        <w:pStyle w:val="T30X"/>
        <w:ind w:firstLine="720"/>
        <w:rPr>
          <w:rFonts w:ascii="Arial" w:hAnsi="Arial" w:cs="Arial"/>
          <w:sz w:val="24"/>
          <w:szCs w:val="24"/>
        </w:rPr>
      </w:pPr>
      <w:r w:rsidRPr="00275FBE">
        <w:rPr>
          <w:rFonts w:ascii="Arial" w:hAnsi="Arial" w:cs="Arial"/>
          <w:sz w:val="24"/>
          <w:szCs w:val="24"/>
        </w:rPr>
        <w:t>Sastavni dio ove Odluke je planski dokument sačinjen u analognoj i digitalnoj formi koji s</w:t>
      </w:r>
      <w:r w:rsidR="00C341BF" w:rsidRPr="00275FBE">
        <w:rPr>
          <w:rFonts w:ascii="Arial" w:hAnsi="Arial" w:cs="Arial"/>
          <w:sz w:val="24"/>
          <w:szCs w:val="24"/>
        </w:rPr>
        <w:t>adrži tekstualni i grafički dio, kao i Izvještaj o strateškoj procjeni uticaja na životnu sredinu.</w:t>
      </w:r>
    </w:p>
    <w:p w:rsidR="00C341BF" w:rsidRPr="00275FBE" w:rsidRDefault="00C341BF" w:rsidP="001A03A8">
      <w:pPr>
        <w:pStyle w:val="T30X"/>
        <w:ind w:firstLine="720"/>
        <w:rPr>
          <w:rFonts w:ascii="Arial" w:hAnsi="Arial" w:cs="Arial"/>
          <w:sz w:val="24"/>
          <w:szCs w:val="24"/>
        </w:rPr>
      </w:pPr>
    </w:p>
    <w:p w:rsidR="001A03A8" w:rsidRPr="00275FBE" w:rsidRDefault="001A03A8" w:rsidP="001A03A8">
      <w:pPr>
        <w:autoSpaceDE/>
        <w:autoSpaceDN/>
        <w:adjustRightInd/>
        <w:jc w:val="center"/>
        <w:rPr>
          <w:rFonts w:ascii="Arial" w:eastAsia="Times New Roman" w:hAnsi="Arial" w:cs="Arial"/>
          <w:b/>
          <w:color w:val="auto"/>
          <w:sz w:val="24"/>
          <w:szCs w:val="24"/>
          <w:lang w:eastAsia="en-US"/>
        </w:rPr>
      </w:pPr>
      <w:r w:rsidRPr="00275FBE">
        <w:rPr>
          <w:rFonts w:ascii="Arial" w:eastAsia="Times New Roman" w:hAnsi="Arial" w:cs="Arial"/>
          <w:b/>
          <w:color w:val="auto"/>
          <w:sz w:val="24"/>
          <w:szCs w:val="24"/>
          <w:lang w:eastAsia="en-US"/>
        </w:rPr>
        <w:t>Član 8</w:t>
      </w:r>
    </w:p>
    <w:p w:rsidR="007D5280" w:rsidRPr="00275FBE" w:rsidRDefault="007D5280" w:rsidP="001A03A8">
      <w:pPr>
        <w:pStyle w:val="T30X"/>
        <w:ind w:firstLine="720"/>
        <w:rPr>
          <w:rFonts w:ascii="Arial" w:hAnsi="Arial" w:cs="Arial"/>
          <w:sz w:val="24"/>
          <w:szCs w:val="24"/>
        </w:rPr>
      </w:pPr>
      <w:r w:rsidRPr="00275FBE">
        <w:rPr>
          <w:rFonts w:ascii="Arial" w:hAnsi="Arial" w:cs="Arial"/>
          <w:sz w:val="24"/>
          <w:szCs w:val="24"/>
        </w:rPr>
        <w:t xml:space="preserve">Ova Odluka stupa na snagu osmog dana od dana objavljivanja u "Službenom listu Crne Gore-opštinski propisi" i biće objavljena u jednom dnevnom štampanom mediju koji se distribuira na teritoriji Crne Gore, kao i na sajtu nosioca pripremnih poslova </w:t>
      </w:r>
      <w:hyperlink r:id="rId14" w:history="1">
        <w:r w:rsidR="002F36BA" w:rsidRPr="00275FBE">
          <w:rPr>
            <w:rStyle w:val="Hyperlink"/>
            <w:rFonts w:ascii="Arial" w:hAnsi="Arial" w:cs="Arial"/>
            <w:sz w:val="24"/>
            <w:szCs w:val="24"/>
          </w:rPr>
          <w:t>www.opstinativat.com</w:t>
        </w:r>
      </w:hyperlink>
      <w:r w:rsidRPr="00275FBE">
        <w:rPr>
          <w:rFonts w:ascii="Arial" w:hAnsi="Arial" w:cs="Arial"/>
          <w:sz w:val="24"/>
          <w:szCs w:val="24"/>
        </w:rPr>
        <w:t>.</w:t>
      </w:r>
    </w:p>
    <w:p w:rsidR="007A41D2" w:rsidRPr="00275FBE" w:rsidRDefault="007A41D2" w:rsidP="007A41D2">
      <w:pPr>
        <w:pStyle w:val="T30X"/>
        <w:tabs>
          <w:tab w:val="left" w:pos="4335"/>
        </w:tabs>
        <w:rPr>
          <w:rFonts w:ascii="Arial" w:hAnsi="Arial" w:cs="Arial"/>
          <w:sz w:val="24"/>
          <w:szCs w:val="24"/>
        </w:rPr>
      </w:pPr>
      <w:r w:rsidRPr="00275FBE">
        <w:rPr>
          <w:rFonts w:ascii="Arial" w:hAnsi="Arial" w:cs="Arial"/>
          <w:sz w:val="24"/>
          <w:szCs w:val="24"/>
        </w:rPr>
        <w:tab/>
      </w:r>
    </w:p>
    <w:p w:rsidR="00760251" w:rsidRPr="00275FBE" w:rsidRDefault="00760251" w:rsidP="007A41D2">
      <w:pPr>
        <w:pStyle w:val="T30X"/>
        <w:tabs>
          <w:tab w:val="left" w:pos="4335"/>
        </w:tabs>
        <w:jc w:val="center"/>
        <w:rPr>
          <w:rFonts w:ascii="Arial" w:hAnsi="Arial" w:cs="Arial"/>
          <w:sz w:val="24"/>
          <w:szCs w:val="24"/>
        </w:rPr>
      </w:pPr>
    </w:p>
    <w:p w:rsidR="00760251" w:rsidRPr="00275FBE" w:rsidRDefault="00760251" w:rsidP="00760251">
      <w:pPr>
        <w:pStyle w:val="T30X"/>
        <w:tabs>
          <w:tab w:val="left" w:pos="4335"/>
        </w:tabs>
        <w:jc w:val="left"/>
        <w:rPr>
          <w:rFonts w:ascii="Arial" w:hAnsi="Arial" w:cs="Arial"/>
          <w:sz w:val="24"/>
          <w:szCs w:val="24"/>
        </w:rPr>
      </w:pPr>
      <w:r w:rsidRPr="00275FBE">
        <w:rPr>
          <w:rFonts w:ascii="Arial" w:hAnsi="Arial" w:cs="Arial"/>
          <w:sz w:val="24"/>
          <w:szCs w:val="24"/>
        </w:rPr>
        <w:t xml:space="preserve">Broj: </w:t>
      </w:r>
      <w:r w:rsidR="00243340" w:rsidRPr="00275FBE">
        <w:rPr>
          <w:rFonts w:ascii="Arial" w:hAnsi="Arial" w:cs="Arial"/>
          <w:sz w:val="24"/>
          <w:szCs w:val="24"/>
        </w:rPr>
        <w:t>0304-</w:t>
      </w:r>
      <w:r w:rsidR="00FA1C08">
        <w:rPr>
          <w:rFonts w:ascii="Arial" w:hAnsi="Arial" w:cs="Arial"/>
          <w:sz w:val="24"/>
          <w:szCs w:val="24"/>
        </w:rPr>
        <w:t>350 -349</w:t>
      </w:r>
      <w:bookmarkStart w:id="0" w:name="_GoBack"/>
      <w:bookmarkEnd w:id="0"/>
    </w:p>
    <w:p w:rsidR="007A41D2" w:rsidRPr="00275FBE" w:rsidRDefault="007A41D2" w:rsidP="00760251">
      <w:pPr>
        <w:pStyle w:val="T30X"/>
        <w:tabs>
          <w:tab w:val="left" w:pos="4335"/>
        </w:tabs>
        <w:jc w:val="left"/>
        <w:rPr>
          <w:rFonts w:ascii="Arial" w:hAnsi="Arial" w:cs="Arial"/>
          <w:sz w:val="24"/>
          <w:szCs w:val="24"/>
        </w:rPr>
      </w:pPr>
      <w:r w:rsidRPr="00275FBE">
        <w:rPr>
          <w:rFonts w:ascii="Arial" w:hAnsi="Arial" w:cs="Arial"/>
          <w:sz w:val="24"/>
          <w:szCs w:val="24"/>
        </w:rPr>
        <w:t>Tivat</w:t>
      </w:r>
      <w:r w:rsidRPr="00275FBE">
        <w:rPr>
          <w:rFonts w:ascii="Arial" w:hAnsi="Arial" w:cs="Arial"/>
          <w:color w:val="auto"/>
          <w:sz w:val="24"/>
          <w:szCs w:val="24"/>
        </w:rPr>
        <w:t xml:space="preserve">, </w:t>
      </w:r>
      <w:r w:rsidR="009A0558" w:rsidRPr="00275FBE">
        <w:rPr>
          <w:rFonts w:ascii="Arial" w:hAnsi="Arial" w:cs="Arial"/>
          <w:color w:val="auto"/>
          <w:sz w:val="24"/>
          <w:szCs w:val="24"/>
        </w:rPr>
        <w:t>16.11.</w:t>
      </w:r>
      <w:r w:rsidRPr="00275FBE">
        <w:rPr>
          <w:rFonts w:ascii="Arial" w:hAnsi="Arial" w:cs="Arial"/>
          <w:color w:val="auto"/>
          <w:sz w:val="24"/>
          <w:szCs w:val="24"/>
        </w:rPr>
        <w:t>2018. godine</w:t>
      </w:r>
    </w:p>
    <w:p w:rsidR="00760251" w:rsidRPr="00275FBE" w:rsidRDefault="00760251" w:rsidP="007A41D2">
      <w:pPr>
        <w:pStyle w:val="T30X"/>
        <w:tabs>
          <w:tab w:val="left" w:pos="4335"/>
        </w:tabs>
        <w:jc w:val="center"/>
        <w:rPr>
          <w:rFonts w:ascii="Arial" w:hAnsi="Arial" w:cs="Arial"/>
          <w:sz w:val="24"/>
          <w:szCs w:val="24"/>
        </w:rPr>
      </w:pPr>
    </w:p>
    <w:p w:rsidR="007A41D2" w:rsidRPr="00275FBE" w:rsidRDefault="007A41D2" w:rsidP="007A41D2">
      <w:pPr>
        <w:pStyle w:val="T30X"/>
        <w:tabs>
          <w:tab w:val="left" w:pos="4335"/>
        </w:tabs>
        <w:jc w:val="center"/>
        <w:rPr>
          <w:rFonts w:ascii="Arial" w:hAnsi="Arial" w:cs="Arial"/>
          <w:b/>
          <w:sz w:val="24"/>
          <w:szCs w:val="24"/>
        </w:rPr>
      </w:pPr>
      <w:r w:rsidRPr="00275FBE">
        <w:rPr>
          <w:rFonts w:ascii="Arial" w:hAnsi="Arial" w:cs="Arial"/>
          <w:b/>
          <w:sz w:val="24"/>
          <w:szCs w:val="24"/>
        </w:rPr>
        <w:t>Skupština Opštine Tivat</w:t>
      </w:r>
    </w:p>
    <w:p w:rsidR="007A41D2" w:rsidRPr="00275FBE" w:rsidRDefault="007A41D2" w:rsidP="007A41D2">
      <w:pPr>
        <w:pStyle w:val="T30X"/>
        <w:tabs>
          <w:tab w:val="left" w:pos="4335"/>
        </w:tabs>
        <w:jc w:val="center"/>
        <w:rPr>
          <w:rFonts w:ascii="Arial" w:hAnsi="Arial" w:cs="Arial"/>
          <w:b/>
          <w:sz w:val="24"/>
          <w:szCs w:val="24"/>
        </w:rPr>
      </w:pPr>
      <w:r w:rsidRPr="00275FBE">
        <w:rPr>
          <w:rFonts w:ascii="Arial" w:hAnsi="Arial" w:cs="Arial"/>
          <w:b/>
          <w:sz w:val="24"/>
          <w:szCs w:val="24"/>
        </w:rPr>
        <w:t>Predsjednik</w:t>
      </w:r>
    </w:p>
    <w:p w:rsidR="00116610" w:rsidRPr="00275FBE" w:rsidRDefault="007A41D2" w:rsidP="00760251">
      <w:pPr>
        <w:pStyle w:val="T30X"/>
        <w:tabs>
          <w:tab w:val="left" w:pos="4335"/>
        </w:tabs>
        <w:jc w:val="center"/>
        <w:rPr>
          <w:rFonts w:ascii="Arial" w:hAnsi="Arial" w:cs="Arial"/>
          <w:b/>
          <w:sz w:val="24"/>
          <w:szCs w:val="24"/>
        </w:rPr>
      </w:pPr>
      <w:r w:rsidRPr="00275FBE">
        <w:rPr>
          <w:rFonts w:ascii="Arial" w:hAnsi="Arial" w:cs="Arial"/>
          <w:b/>
          <w:sz w:val="24"/>
          <w:szCs w:val="24"/>
        </w:rPr>
        <w:t>Ivan Novosel, s.r.</w:t>
      </w:r>
    </w:p>
    <w:sectPr w:rsidR="00116610" w:rsidRPr="00275FBE" w:rsidSect="00A07799">
      <w:type w:val="continuous"/>
      <w:pgSz w:w="11906" w:h="16838"/>
      <w:pgMar w:top="426" w:right="850" w:bottom="709" w:left="1560" w:header="567" w:footer="352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44C" w:rsidRDefault="00E0344C">
      <w:r>
        <w:separator/>
      </w:r>
    </w:p>
  </w:endnote>
  <w:endnote w:type="continuationSeparator" w:id="0">
    <w:p w:rsidR="00E0344C" w:rsidRDefault="00E03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top w:w="40" w:type="dxa"/>
        <w:left w:w="0" w:type="dxa"/>
        <w:bottom w:w="40" w:type="dxa"/>
        <w:right w:w="0" w:type="dxa"/>
      </w:tblCellMar>
      <w:tblLook w:val="0000" w:firstRow="0" w:lastRow="0" w:firstColumn="0" w:lastColumn="0" w:noHBand="0" w:noVBand="0"/>
    </w:tblPr>
    <w:tblGrid>
      <w:gridCol w:w="5102"/>
      <w:gridCol w:w="5103"/>
    </w:tblGrid>
    <w:tr w:rsidR="007D5280">
      <w:trPr>
        <w:cantSplit/>
        <w:trHeight w:val="240"/>
      </w:trPr>
      <w:tc>
        <w:tcPr>
          <w:tcW w:w="5102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:rsidR="007D5280" w:rsidRDefault="007D5280">
          <w:pPr>
            <w:pStyle w:val="Fotter"/>
          </w:pPr>
        </w:p>
      </w:tc>
      <w:tc>
        <w:tcPr>
          <w:tcW w:w="5103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:rsidR="007D5280" w:rsidRDefault="007D5280">
          <w:pPr>
            <w:pStyle w:val="Fotter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FA1C08">
            <w:rPr>
              <w:noProof/>
            </w:rPr>
            <w:t>2</w:t>
          </w:r>
          <w: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top w:w="40" w:type="dxa"/>
        <w:left w:w="0" w:type="dxa"/>
        <w:bottom w:w="40" w:type="dxa"/>
        <w:right w:w="0" w:type="dxa"/>
      </w:tblCellMar>
      <w:tblLook w:val="0000" w:firstRow="0" w:lastRow="0" w:firstColumn="0" w:lastColumn="0" w:noHBand="0" w:noVBand="0"/>
    </w:tblPr>
    <w:tblGrid>
      <w:gridCol w:w="5102"/>
      <w:gridCol w:w="5103"/>
    </w:tblGrid>
    <w:tr w:rsidR="007D5280">
      <w:trPr>
        <w:cantSplit/>
        <w:trHeight w:val="240"/>
      </w:trPr>
      <w:tc>
        <w:tcPr>
          <w:tcW w:w="5102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:rsidR="007D5280" w:rsidRDefault="007D5280">
          <w:pPr>
            <w:pStyle w:val="Fotter"/>
          </w:pPr>
        </w:p>
      </w:tc>
      <w:tc>
        <w:tcPr>
          <w:tcW w:w="5103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:rsidR="007D5280" w:rsidRDefault="007D5280">
          <w:pPr>
            <w:pStyle w:val="Fotter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FA1C08">
            <w:rPr>
              <w:noProof/>
            </w:rPr>
            <w:t>1</w:t>
          </w:r>
          <w: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44C" w:rsidRDefault="00E0344C">
      <w:r>
        <w:separator/>
      </w:r>
    </w:p>
  </w:footnote>
  <w:footnote w:type="continuationSeparator" w:id="0">
    <w:p w:rsidR="00E0344C" w:rsidRDefault="00E034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DCB2BFC"/>
    <w:multiLevelType w:val="hybridMultilevel"/>
    <w:tmpl w:val="A53C927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26A39DE"/>
    <w:multiLevelType w:val="hybridMultilevel"/>
    <w:tmpl w:val="6D024A00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4FD"/>
    <w:rsid w:val="00032C63"/>
    <w:rsid w:val="000367B8"/>
    <w:rsid w:val="000754D0"/>
    <w:rsid w:val="00082283"/>
    <w:rsid w:val="00116610"/>
    <w:rsid w:val="001A03A8"/>
    <w:rsid w:val="001B71A9"/>
    <w:rsid w:val="00213867"/>
    <w:rsid w:val="00243340"/>
    <w:rsid w:val="00265345"/>
    <w:rsid w:val="0027421D"/>
    <w:rsid w:val="00275FBE"/>
    <w:rsid w:val="00293061"/>
    <w:rsid w:val="002A13F0"/>
    <w:rsid w:val="002F36BA"/>
    <w:rsid w:val="0031246B"/>
    <w:rsid w:val="003A74F7"/>
    <w:rsid w:val="003B33F1"/>
    <w:rsid w:val="004B16F7"/>
    <w:rsid w:val="00503495"/>
    <w:rsid w:val="00621DCB"/>
    <w:rsid w:val="006403F9"/>
    <w:rsid w:val="006750F1"/>
    <w:rsid w:val="00690321"/>
    <w:rsid w:val="00713818"/>
    <w:rsid w:val="00760251"/>
    <w:rsid w:val="007A41D2"/>
    <w:rsid w:val="007D5280"/>
    <w:rsid w:val="00812C45"/>
    <w:rsid w:val="00821A9F"/>
    <w:rsid w:val="00826F40"/>
    <w:rsid w:val="00863E34"/>
    <w:rsid w:val="008B3BF1"/>
    <w:rsid w:val="008E014F"/>
    <w:rsid w:val="008F1F8A"/>
    <w:rsid w:val="008F7992"/>
    <w:rsid w:val="009712FF"/>
    <w:rsid w:val="009A0558"/>
    <w:rsid w:val="00A07799"/>
    <w:rsid w:val="00A72CB1"/>
    <w:rsid w:val="00B74B27"/>
    <w:rsid w:val="00C341BF"/>
    <w:rsid w:val="00CC0604"/>
    <w:rsid w:val="00D70D10"/>
    <w:rsid w:val="00D84A69"/>
    <w:rsid w:val="00DB64FD"/>
    <w:rsid w:val="00E0344C"/>
    <w:rsid w:val="00E25902"/>
    <w:rsid w:val="00E301A2"/>
    <w:rsid w:val="00EB2535"/>
    <w:rsid w:val="00EE2AAA"/>
    <w:rsid w:val="00F6402B"/>
    <w:rsid w:val="00F86D5D"/>
    <w:rsid w:val="00FA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F3E691"/>
  <w14:defaultImageDpi w14:val="0"/>
  <w15:docId w15:val="{79E462C5-DFC5-46D2-B220-6AE00CB9E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0">
    <w:name w:val="DefaultParagraphFont"/>
  </w:style>
  <w:style w:type="paragraph" w:customStyle="1" w:styleId="Heading1">
    <w:name w:val="Heading1"/>
    <w:basedOn w:val="Normal"/>
    <w:uiPriority w:val="99"/>
    <w:pPr>
      <w:outlineLvl w:val="0"/>
    </w:pPr>
  </w:style>
  <w:style w:type="paragraph" w:customStyle="1" w:styleId="Heading2">
    <w:name w:val="Heading2"/>
    <w:basedOn w:val="Heading1"/>
    <w:uiPriority w:val="99"/>
    <w:pPr>
      <w:outlineLvl w:val="1"/>
    </w:pPr>
  </w:style>
  <w:style w:type="paragraph" w:customStyle="1" w:styleId="Heading3">
    <w:name w:val="Heading3"/>
    <w:basedOn w:val="Heading2"/>
    <w:uiPriority w:val="99"/>
    <w:pPr>
      <w:outlineLvl w:val="2"/>
    </w:pPr>
  </w:style>
  <w:style w:type="paragraph" w:customStyle="1" w:styleId="Heading4">
    <w:name w:val="Heading4"/>
    <w:basedOn w:val="Heading3"/>
    <w:uiPriority w:val="99"/>
    <w:pPr>
      <w:outlineLvl w:val="3"/>
    </w:pPr>
  </w:style>
  <w:style w:type="paragraph" w:customStyle="1" w:styleId="Heading5">
    <w:name w:val="Heading5"/>
    <w:basedOn w:val="Heading4"/>
    <w:uiPriority w:val="99"/>
    <w:pPr>
      <w:outlineLvl w:val="4"/>
    </w:pPr>
  </w:style>
  <w:style w:type="paragraph" w:customStyle="1" w:styleId="Heading6">
    <w:name w:val="Heading6"/>
    <w:basedOn w:val="Heading5"/>
    <w:uiPriority w:val="99"/>
    <w:pPr>
      <w:outlineLvl w:val="5"/>
    </w:pPr>
  </w:style>
  <w:style w:type="paragraph" w:customStyle="1" w:styleId="Heading7">
    <w:name w:val="Heading7"/>
    <w:basedOn w:val="Heading6"/>
    <w:uiPriority w:val="99"/>
    <w:pPr>
      <w:outlineLvl w:val="6"/>
    </w:pPr>
  </w:style>
  <w:style w:type="paragraph" w:customStyle="1" w:styleId="Heading8">
    <w:name w:val="Heading8"/>
    <w:basedOn w:val="Heading7"/>
    <w:uiPriority w:val="99"/>
    <w:pPr>
      <w:outlineLvl w:val="7"/>
    </w:pPr>
  </w:style>
  <w:style w:type="paragraph" w:customStyle="1" w:styleId="Heading9">
    <w:name w:val="Heading9"/>
    <w:basedOn w:val="Heading8"/>
    <w:uiPriority w:val="99"/>
    <w:pPr>
      <w:outlineLvl w:val="8"/>
    </w:pPr>
  </w:style>
  <w:style w:type="paragraph" w:styleId="List">
    <w:name w:val="List"/>
    <w:basedOn w:val="Normal"/>
    <w:uiPriority w:val="99"/>
  </w:style>
  <w:style w:type="paragraph" w:customStyle="1" w:styleId="Footnote">
    <w:name w:val="Footnote"/>
    <w:basedOn w:val="Normal"/>
    <w:uiPriority w:val="99"/>
  </w:style>
  <w:style w:type="paragraph" w:styleId="Header">
    <w:name w:val="header"/>
    <w:basedOn w:val="Normal"/>
    <w:link w:val="HeaderChar"/>
    <w:uiPriority w:val="99"/>
    <w:pPr>
      <w:pBdr>
        <w:bottom w:val="dotted" w:sz="4" w:space="0" w:color="4682B4"/>
      </w:pBdr>
      <w:tabs>
        <w:tab w:val="right" w:pos="9071"/>
      </w:tabs>
      <w:jc w:val="right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pPr>
      <w:pBdr>
        <w:top w:val="dotted" w:sz="4" w:space="0" w:color="4682B4"/>
      </w:pBdr>
      <w:tabs>
        <w:tab w:val="center" w:pos="5669"/>
      </w:tabs>
      <w:jc w:val="center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character" w:styleId="Hyperlink">
    <w:name w:val="Hyperlink"/>
    <w:basedOn w:val="DefaultParagraphFont0"/>
    <w:uiPriority w:val="99"/>
    <w:rPr>
      <w:rFonts w:cs="Times New Roman"/>
    </w:rPr>
  </w:style>
  <w:style w:type="paragraph" w:customStyle="1" w:styleId="InvalidStyleName">
    <w:name w:val="InvalidStyleName"/>
    <w:basedOn w:val="Normal"/>
    <w:uiPriority w:val="99"/>
    <w:rPr>
      <w:b/>
      <w:bCs/>
      <w:color w:val="00FF00"/>
      <w:u w:val="dash"/>
    </w:rPr>
  </w:style>
  <w:style w:type="paragraph" w:customStyle="1" w:styleId="N03Y">
    <w:name w:val="N03Y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N01X">
    <w:name w:val="N01X"/>
    <w:basedOn w:val="Normal"/>
    <w:uiPriority w:val="99"/>
    <w:pPr>
      <w:spacing w:before="200" w:after="200"/>
      <w:jc w:val="center"/>
    </w:pPr>
    <w:rPr>
      <w:b/>
      <w:bCs/>
      <w:sz w:val="24"/>
      <w:szCs w:val="24"/>
    </w:rPr>
  </w:style>
  <w:style w:type="paragraph" w:customStyle="1" w:styleId="C30X">
    <w:name w:val="C30X"/>
    <w:basedOn w:val="Normal"/>
    <w:uiPriority w:val="99"/>
    <w:pPr>
      <w:spacing w:before="200" w:after="60"/>
      <w:jc w:val="center"/>
    </w:pPr>
    <w:rPr>
      <w:b/>
      <w:bCs/>
      <w:sz w:val="24"/>
      <w:szCs w:val="24"/>
    </w:rPr>
  </w:style>
  <w:style w:type="paragraph" w:customStyle="1" w:styleId="C31X">
    <w:name w:val="C31X"/>
    <w:basedOn w:val="Normal"/>
    <w:uiPriority w:val="99"/>
    <w:pPr>
      <w:spacing w:before="60" w:after="60"/>
      <w:jc w:val="center"/>
    </w:pPr>
    <w:rPr>
      <w:b/>
      <w:bCs/>
      <w:sz w:val="22"/>
      <w:szCs w:val="22"/>
    </w:rPr>
  </w:style>
  <w:style w:type="paragraph" w:customStyle="1" w:styleId="Fotter">
    <w:name w:val="Fotter"/>
    <w:basedOn w:val="Normal"/>
    <w:uiPriority w:val="99"/>
    <w:rPr>
      <w:rFonts w:ascii="Verdana" w:hAnsi="Verdana" w:cs="Verdana"/>
      <w:b/>
      <w:bCs/>
      <w:color w:val="4682B4"/>
      <w:sz w:val="18"/>
      <w:szCs w:val="18"/>
    </w:rPr>
  </w:style>
  <w:style w:type="paragraph" w:customStyle="1" w:styleId="ODRX">
    <w:name w:val="ODR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D3D3D3"/>
      <w:spacing w:before="200" w:after="200"/>
      <w:jc w:val="center"/>
    </w:pPr>
    <w:rPr>
      <w:b/>
      <w:bCs/>
      <w:sz w:val="24"/>
      <w:szCs w:val="24"/>
    </w:rPr>
  </w:style>
  <w:style w:type="paragraph" w:customStyle="1" w:styleId="NVPX">
    <w:name w:val="NVP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000000"/>
      <w:spacing w:before="200" w:after="200"/>
      <w:jc w:val="center"/>
    </w:pPr>
    <w:rPr>
      <w:b/>
      <w:bCs/>
      <w:color w:val="FFFFFF"/>
      <w:sz w:val="24"/>
      <w:szCs w:val="24"/>
    </w:rPr>
  </w:style>
  <w:style w:type="paragraph" w:customStyle="1" w:styleId="TextBox">
    <w:name w:val="TextBox"/>
    <w:basedOn w:val="Normal"/>
    <w:uiPriority w:val="99"/>
    <w:pPr>
      <w:pBdr>
        <w:top w:val="single" w:sz="20" w:space="3" w:color="000000"/>
        <w:left w:val="single" w:sz="20" w:space="3" w:color="000000"/>
        <w:bottom w:val="single" w:sz="20" w:space="3" w:color="000000"/>
        <w:right w:val="single" w:sz="20" w:space="3" w:color="000000"/>
      </w:pBdr>
      <w:shd w:val="clear" w:color="auto" w:fill="87CEEB"/>
      <w:jc w:val="both"/>
    </w:pPr>
  </w:style>
  <w:style w:type="paragraph" w:customStyle="1" w:styleId="TOC">
    <w:name w:val="TOC"/>
    <w:basedOn w:val="Normal"/>
    <w:uiPriority w:val="99"/>
    <w:pPr>
      <w:tabs>
        <w:tab w:val="right" w:leader="dot" w:pos="9071"/>
      </w:tabs>
    </w:pPr>
    <w:rPr>
      <w:color w:val="0000FF"/>
    </w:rPr>
  </w:style>
  <w:style w:type="paragraph" w:customStyle="1" w:styleId="N01Y">
    <w:name w:val="N01Y"/>
    <w:basedOn w:val="Normal"/>
    <w:uiPriority w:val="99"/>
    <w:pPr>
      <w:spacing w:before="60" w:after="60"/>
    </w:pPr>
    <w:rPr>
      <w:b/>
      <w:bCs/>
      <w:sz w:val="22"/>
      <w:szCs w:val="22"/>
    </w:rPr>
  </w:style>
  <w:style w:type="paragraph" w:customStyle="1" w:styleId="N02Y">
    <w:name w:val="N02Y"/>
    <w:basedOn w:val="Normal"/>
    <w:uiPriority w:val="99"/>
    <w:pPr>
      <w:spacing w:before="120" w:after="60"/>
      <w:ind w:firstLine="283"/>
      <w:jc w:val="both"/>
    </w:pPr>
    <w:rPr>
      <w:sz w:val="22"/>
      <w:szCs w:val="22"/>
    </w:rPr>
  </w:style>
  <w:style w:type="paragraph" w:customStyle="1" w:styleId="N05Y">
    <w:name w:val="N05Y"/>
    <w:basedOn w:val="Normal"/>
    <w:uiPriority w:val="99"/>
    <w:pPr>
      <w:spacing w:before="60" w:after="200"/>
      <w:jc w:val="center"/>
    </w:pPr>
    <w:rPr>
      <w:b/>
      <w:bCs/>
      <w:sz w:val="24"/>
      <w:szCs w:val="24"/>
    </w:rPr>
  </w:style>
  <w:style w:type="paragraph" w:customStyle="1" w:styleId="N01Z">
    <w:name w:val="N01Z"/>
    <w:basedOn w:val="Normal"/>
    <w:uiPriority w:val="99"/>
    <w:pPr>
      <w:spacing w:before="60" w:after="60"/>
      <w:jc w:val="center"/>
    </w:pPr>
    <w:rPr>
      <w:b/>
      <w:bCs/>
    </w:rPr>
  </w:style>
  <w:style w:type="paragraph" w:customStyle="1" w:styleId="T30X">
    <w:name w:val="T30X"/>
    <w:basedOn w:val="Normal"/>
    <w:uiPriority w:val="99"/>
    <w:pPr>
      <w:spacing w:before="60" w:after="60"/>
      <w:ind w:firstLine="283"/>
      <w:jc w:val="both"/>
    </w:pPr>
    <w:rPr>
      <w:sz w:val="22"/>
      <w:szCs w:val="22"/>
    </w:rPr>
  </w:style>
  <w:style w:type="paragraph" w:customStyle="1" w:styleId="TABELATE">
    <w:name w:val="TABELA_TE"/>
    <w:basedOn w:val="Normal"/>
    <w:uiPriority w:val="99"/>
    <w:pPr>
      <w:spacing w:before="60" w:after="60"/>
    </w:pPr>
    <w:rPr>
      <w:rFonts w:ascii="Courier New" w:hAnsi="Courier New" w:cs="Courier New"/>
      <w:sz w:val="16"/>
      <w:szCs w:val="16"/>
    </w:rPr>
  </w:style>
  <w:style w:type="paragraph" w:customStyle="1" w:styleId="T60X">
    <w:name w:val="T60X"/>
    <w:basedOn w:val="Normal"/>
    <w:uiPriority w:val="99"/>
    <w:pPr>
      <w:spacing w:before="60" w:after="60"/>
      <w:jc w:val="center"/>
    </w:pPr>
    <w:rPr>
      <w:i/>
      <w:iCs/>
      <w:sz w:val="22"/>
      <w:szCs w:val="22"/>
    </w:rPr>
  </w:style>
  <w:style w:type="paragraph" w:customStyle="1" w:styleId="FSNT">
    <w:name w:val="FSNT"/>
    <w:basedOn w:val="Normal"/>
    <w:uiPriority w:val="99"/>
    <w:pPr>
      <w:spacing w:before="200" w:after="120"/>
      <w:ind w:left="850" w:hanging="170"/>
    </w:pPr>
    <w:rPr>
      <w:sz w:val="18"/>
      <w:szCs w:val="18"/>
    </w:rPr>
  </w:style>
  <w:style w:type="paragraph" w:customStyle="1" w:styleId="HLINE">
    <w:name w:val="HLINE"/>
    <w:basedOn w:val="Normal"/>
    <w:uiPriority w:val="99"/>
    <w:pPr>
      <w:pBdr>
        <w:top w:val="single" w:sz="8" w:space="1" w:color="000000"/>
        <w:left w:val="none" w:sz="0" w:space="1" w:color="auto"/>
        <w:bottom w:val="none" w:sz="0" w:space="1" w:color="auto"/>
        <w:right w:val="none" w:sz="0" w:space="1" w:color="auto"/>
      </w:pBdr>
      <w:spacing w:before="60"/>
      <w:jc w:val="center"/>
    </w:pPr>
  </w:style>
  <w:style w:type="paragraph" w:customStyle="1" w:styleId="SPN">
    <w:name w:val="SPN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SPS">
    <w:name w:val="SPS"/>
    <w:basedOn w:val="Normal"/>
    <w:uiPriority w:val="99"/>
    <w:pPr>
      <w:spacing w:before="100" w:after="100"/>
    </w:pPr>
    <w:rPr>
      <w:color w:val="000080"/>
      <w:sz w:val="24"/>
      <w:szCs w:val="24"/>
    </w:rPr>
  </w:style>
  <w:style w:type="paragraph" w:customStyle="1" w:styleId="SPP">
    <w:name w:val="SPP"/>
    <w:basedOn w:val="Normal"/>
    <w:uiPriority w:val="99"/>
    <w:pPr>
      <w:spacing w:before="200" w:after="200"/>
      <w:jc w:val="center"/>
    </w:pPr>
    <w:rPr>
      <w:b/>
      <w:bCs/>
      <w:sz w:val="22"/>
      <w:szCs w:val="22"/>
    </w:rPr>
  </w:style>
  <w:style w:type="paragraph" w:customStyle="1" w:styleId="SPOB">
    <w:name w:val="SPOB"/>
    <w:basedOn w:val="Normal"/>
    <w:uiPriority w:val="99"/>
    <w:pPr>
      <w:spacing w:before="60" w:after="60"/>
      <w:jc w:val="center"/>
    </w:pPr>
    <w:rPr>
      <w:b/>
      <w:bCs/>
      <w:i/>
      <w:iCs/>
      <w:sz w:val="22"/>
      <w:szCs w:val="22"/>
    </w:rPr>
  </w:style>
  <w:style w:type="paragraph" w:customStyle="1" w:styleId="SPT">
    <w:name w:val="SPT"/>
    <w:basedOn w:val="Normal"/>
    <w:uiPriority w:val="99"/>
    <w:pPr>
      <w:spacing w:before="140" w:after="140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1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1BF"/>
    <w:rPr>
      <w:rFonts w:ascii="Tahoma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713818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4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opstinativa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9FAE2-E2A8-4098-A553-31FCA758E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</vt:lpstr>
    </vt:vector>
  </TitlesOfParts>
  <Company>Microsoft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</dc:title>
  <dc:subject></dc:subject>
  <dc:creator></dc:creator>
  <cp:lastModifiedBy>Goran Babovic</cp:lastModifiedBy>
  <cp:revision>6</cp:revision>
  <cp:lastPrinted>2018-11-06T08:40:00Z</cp:lastPrinted>
  <dcterms:created xsi:type="dcterms:W3CDTF">2018-11-19T08:26:00Z</dcterms:created>
  <dcterms:modified xsi:type="dcterms:W3CDTF">2018-11-22T08:03:00Z</dcterms:modified>
</cp:coreProperties>
</file>