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2C" w:rsidRDefault="004A212C" w:rsidP="004A212C">
      <w:pPr>
        <w:jc w:val="center"/>
        <w:rPr>
          <w:b/>
          <w:sz w:val="72"/>
        </w:rPr>
      </w:pPr>
      <w:bookmarkStart w:id="0" w:name="_GoBack"/>
      <w:bookmarkEnd w:id="0"/>
    </w:p>
    <w:p w:rsidR="004A212C" w:rsidRDefault="004A212C" w:rsidP="004A212C">
      <w:pPr>
        <w:jc w:val="center"/>
        <w:rPr>
          <w:b/>
          <w:sz w:val="72"/>
        </w:rPr>
      </w:pPr>
    </w:p>
    <w:p w:rsidR="004A212C" w:rsidRDefault="004A212C" w:rsidP="004A212C">
      <w:pPr>
        <w:jc w:val="center"/>
        <w:rPr>
          <w:b/>
          <w:sz w:val="72"/>
        </w:rPr>
      </w:pPr>
    </w:p>
    <w:p w:rsidR="004A212C" w:rsidRDefault="004A212C" w:rsidP="004A212C">
      <w:pPr>
        <w:jc w:val="center"/>
        <w:rPr>
          <w:b/>
          <w:sz w:val="72"/>
        </w:rPr>
      </w:pPr>
    </w:p>
    <w:p w:rsidR="004A212C" w:rsidRDefault="004A212C" w:rsidP="004A212C">
      <w:pPr>
        <w:jc w:val="center"/>
        <w:rPr>
          <w:b/>
          <w:sz w:val="72"/>
        </w:rPr>
      </w:pPr>
      <w:r w:rsidRPr="004A212C">
        <w:rPr>
          <w:b/>
          <w:sz w:val="72"/>
        </w:rPr>
        <w:t xml:space="preserve">PLAN POBOLJŠANJA ENERGETSKE EFIKASNOSTI OPŠTINE TIVAT </w:t>
      </w:r>
    </w:p>
    <w:p w:rsidR="004A212C" w:rsidRDefault="004A212C" w:rsidP="004A212C">
      <w:pPr>
        <w:jc w:val="center"/>
        <w:rPr>
          <w:b/>
          <w:sz w:val="72"/>
        </w:rPr>
      </w:pPr>
      <w:r w:rsidRPr="004A212C">
        <w:rPr>
          <w:b/>
          <w:sz w:val="72"/>
        </w:rPr>
        <w:t>ZA 2017. GODINU</w:t>
      </w:r>
    </w:p>
    <w:p w:rsidR="00012608" w:rsidRPr="00012608" w:rsidRDefault="00012608">
      <w:pPr>
        <w:rPr>
          <w:b/>
          <w:sz w:val="72"/>
        </w:rPr>
      </w:pPr>
      <w:r>
        <w:rPr>
          <w:b/>
          <w:sz w:val="24"/>
          <w:szCs w:val="24"/>
        </w:rPr>
        <w:br w:type="page"/>
      </w:r>
    </w:p>
    <w:p w:rsidR="004A212C" w:rsidRPr="00012608" w:rsidRDefault="004A212C">
      <w:pPr>
        <w:rPr>
          <w:b/>
          <w:sz w:val="24"/>
          <w:szCs w:val="24"/>
        </w:rPr>
      </w:pPr>
    </w:p>
    <w:p w:rsidR="008E7BAE" w:rsidRDefault="00A36E0F" w:rsidP="003C22D5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4A212C" w:rsidRDefault="004A212C" w:rsidP="003C22D5">
      <w:pPr>
        <w:ind w:firstLine="426"/>
        <w:jc w:val="both"/>
        <w:rPr>
          <w:sz w:val="24"/>
          <w:szCs w:val="24"/>
        </w:rPr>
      </w:pPr>
      <w:r w:rsidRPr="004A212C">
        <w:rPr>
          <w:sz w:val="24"/>
          <w:szCs w:val="24"/>
        </w:rPr>
        <w:t xml:space="preserve">Plan poboljšanja energetske efikasnosti opštine Tivat definiše mjere koje će biti prioritetno realizovane tokom 2017. </w:t>
      </w:r>
      <w:r>
        <w:rPr>
          <w:sz w:val="24"/>
          <w:szCs w:val="24"/>
        </w:rPr>
        <w:t>g</w:t>
      </w:r>
      <w:r w:rsidRPr="004A212C">
        <w:rPr>
          <w:sz w:val="24"/>
          <w:szCs w:val="24"/>
        </w:rPr>
        <w:t xml:space="preserve">odine radi implementacije trogodišnjeg Programa poboljšanja energetske efikasnosti za period 2014-2017 godine, </w:t>
      </w:r>
      <w:r w:rsidR="00BB52E9">
        <w:rPr>
          <w:sz w:val="24"/>
          <w:szCs w:val="24"/>
        </w:rPr>
        <w:t xml:space="preserve">a </w:t>
      </w:r>
      <w:r w:rsidRPr="004A212C">
        <w:rPr>
          <w:sz w:val="24"/>
          <w:szCs w:val="24"/>
        </w:rPr>
        <w:t>u skladu sa odredbama člana 14 Zakona o efikasnom korišćenju energije</w:t>
      </w:r>
      <w:r w:rsidR="00BB52E9">
        <w:rPr>
          <w:sz w:val="24"/>
          <w:szCs w:val="24"/>
        </w:rPr>
        <w:t xml:space="preserve"> („Sl.list CG broj 52/14“)</w:t>
      </w:r>
      <w:r w:rsidRPr="004A212C">
        <w:rPr>
          <w:sz w:val="24"/>
          <w:szCs w:val="24"/>
        </w:rPr>
        <w:t>.</w:t>
      </w:r>
    </w:p>
    <w:p w:rsidR="00DE7EFF" w:rsidRPr="00181819" w:rsidRDefault="00DE7EFF" w:rsidP="003C22D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Plan u većoj mjeri predstavlja nastavak realizacije aktivnosti iz Plana poboljšanja e</w:t>
      </w:r>
      <w:r w:rsidR="00BB52E9">
        <w:rPr>
          <w:sz w:val="24"/>
          <w:szCs w:val="24"/>
        </w:rPr>
        <w:t xml:space="preserve">nergetske efikasnosti za 2016. </w:t>
      </w:r>
      <w:r w:rsidR="00FD035C">
        <w:rPr>
          <w:sz w:val="24"/>
          <w:szCs w:val="24"/>
        </w:rPr>
        <w:t>go</w:t>
      </w:r>
      <w:r>
        <w:rPr>
          <w:sz w:val="24"/>
          <w:szCs w:val="24"/>
        </w:rPr>
        <w:t>dinu</w:t>
      </w:r>
      <w:r w:rsidR="00FD035C">
        <w:rPr>
          <w:sz w:val="24"/>
          <w:szCs w:val="24"/>
        </w:rPr>
        <w:t xml:space="preserve">, </w:t>
      </w:r>
      <w:r w:rsidR="00FD035C" w:rsidRPr="00181819">
        <w:rPr>
          <w:sz w:val="24"/>
          <w:szCs w:val="24"/>
        </w:rPr>
        <w:t>koji je usvojen na sjednici skupštine opštine Tivat 28.06.2016.godine.</w:t>
      </w:r>
      <w:r w:rsidR="00BB52E9" w:rsidRPr="00181819">
        <w:rPr>
          <w:sz w:val="24"/>
          <w:szCs w:val="24"/>
        </w:rPr>
        <w:t xml:space="preserve"> Određene </w:t>
      </w:r>
      <w:r w:rsidRPr="00181819">
        <w:rPr>
          <w:sz w:val="24"/>
          <w:szCs w:val="24"/>
        </w:rPr>
        <w:t xml:space="preserve">aktivnosti </w:t>
      </w:r>
      <w:r w:rsidR="00BB52E9" w:rsidRPr="00181819">
        <w:rPr>
          <w:sz w:val="24"/>
          <w:szCs w:val="24"/>
        </w:rPr>
        <w:t>su</w:t>
      </w:r>
      <w:r w:rsidRPr="00181819">
        <w:rPr>
          <w:sz w:val="24"/>
          <w:szCs w:val="24"/>
        </w:rPr>
        <w:t xml:space="preserve"> u cjelosti prenijet</w:t>
      </w:r>
      <w:r w:rsidR="00BB52E9" w:rsidRPr="00181819">
        <w:rPr>
          <w:sz w:val="24"/>
          <w:szCs w:val="24"/>
        </w:rPr>
        <w:t>e</w:t>
      </w:r>
      <w:r w:rsidR="00FD035C" w:rsidRPr="00181819">
        <w:rPr>
          <w:sz w:val="24"/>
          <w:szCs w:val="24"/>
        </w:rPr>
        <w:t xml:space="preserve"> za ovu godinu, imajući u vidu prije svega znača</w:t>
      </w:r>
      <w:r w:rsidR="0036125B">
        <w:rPr>
          <w:sz w:val="24"/>
          <w:szCs w:val="24"/>
        </w:rPr>
        <w:t>jne organizacijske promjene u i</w:t>
      </w:r>
      <w:r w:rsidR="00FD035C" w:rsidRPr="00181819">
        <w:rPr>
          <w:sz w:val="24"/>
          <w:szCs w:val="24"/>
        </w:rPr>
        <w:t>n</w:t>
      </w:r>
      <w:r w:rsidR="0036125B">
        <w:rPr>
          <w:sz w:val="24"/>
          <w:szCs w:val="24"/>
        </w:rPr>
        <w:t>s</w:t>
      </w:r>
      <w:r w:rsidR="00FD035C" w:rsidRPr="00181819">
        <w:rPr>
          <w:sz w:val="24"/>
          <w:szCs w:val="24"/>
        </w:rPr>
        <w:t>tituciji opštine, o čemu je detaljnije elaborirano u Izvještaju o realizaciji Plana energetske efikasnosti za 2016.godinu.</w:t>
      </w:r>
    </w:p>
    <w:p w:rsidR="003C22D5" w:rsidRPr="00181819" w:rsidRDefault="00DE7EFF" w:rsidP="003C22D5">
      <w:pPr>
        <w:ind w:firstLine="360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Plan poboljšanja energetske efikasnosti je urađen po obrascu koji je donijelo nadležno ministarstvo.</w:t>
      </w:r>
    </w:p>
    <w:p w:rsidR="003C22D5" w:rsidRPr="00181819" w:rsidRDefault="003C22D5" w:rsidP="003C22D5">
      <w:pPr>
        <w:pStyle w:val="ListParagraph"/>
        <w:numPr>
          <w:ilvl w:val="1"/>
          <w:numId w:val="1"/>
        </w:numPr>
        <w:tabs>
          <w:tab w:val="left" w:pos="851"/>
          <w:tab w:val="left" w:pos="1560"/>
        </w:tabs>
        <w:jc w:val="both"/>
        <w:rPr>
          <w:b/>
          <w:sz w:val="24"/>
          <w:szCs w:val="24"/>
        </w:rPr>
      </w:pPr>
      <w:r w:rsidRPr="00181819">
        <w:rPr>
          <w:b/>
          <w:sz w:val="24"/>
          <w:szCs w:val="24"/>
        </w:rPr>
        <w:t>Podaci o odgovornim licima</w:t>
      </w:r>
    </w:p>
    <w:tbl>
      <w:tblPr>
        <w:tblStyle w:val="TableGrid"/>
        <w:tblW w:w="9331" w:type="dxa"/>
        <w:tblLayout w:type="fixed"/>
        <w:tblLook w:val="04A0" w:firstRow="1" w:lastRow="0" w:firstColumn="1" w:lastColumn="0" w:noHBand="0" w:noVBand="1"/>
      </w:tblPr>
      <w:tblGrid>
        <w:gridCol w:w="4097"/>
        <w:gridCol w:w="1852"/>
        <w:gridCol w:w="3382"/>
      </w:tblGrid>
      <w:tr w:rsidR="00181819" w:rsidRPr="00181819" w:rsidTr="00D84AB8">
        <w:trPr>
          <w:trHeight w:val="990"/>
        </w:trPr>
        <w:tc>
          <w:tcPr>
            <w:tcW w:w="4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Ime i prezime odgovornog lica (energetski menadžer)</w:t>
            </w:r>
          </w:p>
        </w:tc>
        <w:tc>
          <w:tcPr>
            <w:tcW w:w="52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22D5" w:rsidRPr="00181819" w:rsidRDefault="00FD035C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Marinko Terzić</w:t>
            </w:r>
          </w:p>
        </w:tc>
      </w:tr>
      <w:tr w:rsidR="00181819" w:rsidRPr="00181819" w:rsidTr="00D84AB8">
        <w:trPr>
          <w:trHeight w:val="495"/>
        </w:trPr>
        <w:tc>
          <w:tcPr>
            <w:tcW w:w="4097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Adresa/Poštanski broj/Opština:</w:t>
            </w:r>
          </w:p>
        </w:tc>
        <w:tc>
          <w:tcPr>
            <w:tcW w:w="5234" w:type="dxa"/>
            <w:gridSpan w:val="2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Trg Magnolija 1, 85320, Tivat</w:t>
            </w:r>
          </w:p>
        </w:tc>
      </w:tr>
      <w:tr w:rsidR="00181819" w:rsidRPr="00181819" w:rsidTr="00D84AB8">
        <w:trPr>
          <w:trHeight w:val="495"/>
        </w:trPr>
        <w:tc>
          <w:tcPr>
            <w:tcW w:w="4097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Telefon:</w:t>
            </w:r>
            <w:r w:rsidRPr="001818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19">
              <w:rPr>
                <w:rFonts w:ascii="Times New Roman" w:hAnsi="Times New Roman" w:cs="Times New Roman"/>
                <w:b/>
                <w:sz w:val="24"/>
              </w:rPr>
              <w:t>032/661-338</w:t>
            </w:r>
          </w:p>
        </w:tc>
        <w:tc>
          <w:tcPr>
            <w:tcW w:w="1852" w:type="dxa"/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 xml:space="preserve">Mob. telefon: </w:t>
            </w:r>
          </w:p>
        </w:tc>
        <w:tc>
          <w:tcPr>
            <w:tcW w:w="3382" w:type="dxa"/>
            <w:tcBorders>
              <w:right w:val="single" w:sz="12" w:space="0" w:color="auto"/>
            </w:tcBorders>
            <w:vAlign w:val="center"/>
          </w:tcPr>
          <w:p w:rsidR="003C22D5" w:rsidRPr="00181819" w:rsidRDefault="00FD035C" w:rsidP="00FD03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067</w:t>
            </w:r>
            <w:r w:rsidR="003C22D5" w:rsidRPr="00181819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181819">
              <w:rPr>
                <w:rFonts w:ascii="Times New Roman" w:hAnsi="Times New Roman" w:cs="Times New Roman"/>
                <w:b/>
                <w:sz w:val="24"/>
              </w:rPr>
              <w:t>382-195</w:t>
            </w:r>
          </w:p>
        </w:tc>
      </w:tr>
      <w:tr w:rsidR="003C22D5" w:rsidRPr="00181819" w:rsidTr="00D84AB8">
        <w:trPr>
          <w:trHeight w:val="495"/>
        </w:trPr>
        <w:tc>
          <w:tcPr>
            <w:tcW w:w="4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Fax:</w:t>
            </w:r>
            <w:r w:rsidRPr="001818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19">
              <w:rPr>
                <w:rFonts w:ascii="Times New Roman" w:hAnsi="Times New Roman" w:cs="Times New Roman"/>
                <w:b/>
                <w:sz w:val="24"/>
              </w:rPr>
              <w:t>032/671-387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 xml:space="preserve">E-mail: </w:t>
            </w:r>
          </w:p>
        </w:tc>
        <w:tc>
          <w:tcPr>
            <w:tcW w:w="338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D5" w:rsidRPr="00181819" w:rsidRDefault="00FD035C" w:rsidP="00D84AB8">
            <w:pPr>
              <w:rPr>
                <w:rFonts w:ascii="Times New Roman" w:hAnsi="Times New Roman" w:cs="Times New Roman"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marinko.terzic</w:t>
            </w:r>
            <w:r w:rsidR="003C22D5" w:rsidRPr="00181819">
              <w:rPr>
                <w:rFonts w:ascii="Times New Roman" w:hAnsi="Times New Roman" w:cs="Times New Roman"/>
                <w:i/>
                <w:sz w:val="24"/>
                <w:lang w:val="en-US"/>
              </w:rPr>
              <w:t>@</w:t>
            </w:r>
            <w:r w:rsidR="003C22D5" w:rsidRPr="00181819">
              <w:rPr>
                <w:rFonts w:ascii="Times New Roman" w:hAnsi="Times New Roman" w:cs="Times New Roman"/>
                <w:i/>
                <w:sz w:val="24"/>
              </w:rPr>
              <w:t>opstinativat.com</w:t>
            </w:r>
          </w:p>
        </w:tc>
      </w:tr>
    </w:tbl>
    <w:p w:rsidR="003C22D5" w:rsidRPr="00181819" w:rsidRDefault="003C22D5" w:rsidP="003C22D5">
      <w:pPr>
        <w:ind w:left="360"/>
        <w:jc w:val="both"/>
        <w:rPr>
          <w:sz w:val="24"/>
          <w:szCs w:val="24"/>
        </w:rPr>
      </w:pPr>
    </w:p>
    <w:p w:rsidR="003C22D5" w:rsidRPr="00181819" w:rsidRDefault="003C22D5" w:rsidP="003C22D5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140"/>
        <w:gridCol w:w="3430"/>
        <w:gridCol w:w="1097"/>
        <w:gridCol w:w="3635"/>
      </w:tblGrid>
      <w:tr w:rsidR="00181819" w:rsidRPr="00181819" w:rsidTr="00D84AB8">
        <w:trPr>
          <w:trHeight w:val="376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i/>
                <w:sz w:val="24"/>
              </w:rPr>
              <w:t>Lice odgovorno za izradu plana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i/>
                <w:sz w:val="24"/>
              </w:rPr>
              <w:t>Lice odgovorno za odobravanje plana</w:t>
            </w:r>
          </w:p>
        </w:tc>
      </w:tr>
      <w:tr w:rsidR="00181819" w:rsidRPr="00181819" w:rsidTr="00D84AB8">
        <w:trPr>
          <w:trHeight w:val="39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Ime:</w:t>
            </w:r>
          </w:p>
        </w:tc>
        <w:tc>
          <w:tcPr>
            <w:tcW w:w="3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Marinko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Ime:</w:t>
            </w:r>
          </w:p>
        </w:tc>
        <w:tc>
          <w:tcPr>
            <w:tcW w:w="3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Tatjana</w:t>
            </w:r>
          </w:p>
        </w:tc>
      </w:tr>
      <w:tr w:rsidR="00181819" w:rsidRPr="00181819" w:rsidTr="00D84AB8">
        <w:trPr>
          <w:trHeight w:val="376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Prezime: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Terzić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Prezime: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Jelić</w:t>
            </w:r>
          </w:p>
        </w:tc>
      </w:tr>
      <w:tr w:rsidR="00181819" w:rsidRPr="00181819" w:rsidTr="00D84AB8">
        <w:trPr>
          <w:trHeight w:val="1150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Pozicija: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Samostalni savjetnik I za energetsku efikasnost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Pozicija: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Sekretar Sekretarijata za zaštitu životne sredine i energetsku efikasnost</w:t>
            </w:r>
          </w:p>
        </w:tc>
      </w:tr>
      <w:tr w:rsidR="00181819" w:rsidRPr="00181819" w:rsidTr="00D84AB8">
        <w:trPr>
          <w:trHeight w:val="376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Telefon: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032/661-324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Telefon: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032/661-310</w:t>
            </w:r>
          </w:p>
        </w:tc>
      </w:tr>
      <w:tr w:rsidR="00181819" w:rsidRPr="00181819" w:rsidTr="00D84AB8">
        <w:trPr>
          <w:trHeight w:val="376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Fax: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032/671-387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Fax:</w:t>
            </w:r>
          </w:p>
        </w:tc>
        <w:tc>
          <w:tcPr>
            <w:tcW w:w="3635" w:type="dxa"/>
            <w:tcBorders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b/>
                <w:sz w:val="24"/>
              </w:rPr>
              <w:t>032/671-387</w:t>
            </w:r>
          </w:p>
        </w:tc>
      </w:tr>
      <w:tr w:rsidR="00181819" w:rsidRPr="00181819" w:rsidTr="00D84AB8">
        <w:trPr>
          <w:trHeight w:val="376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E-mail:</w:t>
            </w:r>
          </w:p>
        </w:tc>
        <w:tc>
          <w:tcPr>
            <w:tcW w:w="3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marinko.terzic</w:t>
            </w:r>
            <w:r w:rsidRPr="00181819">
              <w:rPr>
                <w:rFonts w:ascii="Times New Roman" w:hAnsi="Times New Roman" w:cs="Times New Roman"/>
                <w:i/>
                <w:sz w:val="24"/>
                <w:lang w:val="en-US"/>
              </w:rPr>
              <w:t>@</w:t>
            </w:r>
            <w:r w:rsidRPr="00181819">
              <w:rPr>
                <w:rFonts w:ascii="Times New Roman" w:hAnsi="Times New Roman" w:cs="Times New Roman"/>
                <w:i/>
                <w:sz w:val="24"/>
              </w:rPr>
              <w:t>opstinativat.com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E-mail:</w:t>
            </w:r>
          </w:p>
        </w:tc>
        <w:tc>
          <w:tcPr>
            <w:tcW w:w="3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22D5" w:rsidRPr="00181819" w:rsidRDefault="003C22D5" w:rsidP="00D84AB8">
            <w:pPr>
              <w:rPr>
                <w:rFonts w:ascii="Times New Roman" w:hAnsi="Times New Roman" w:cs="Times New Roman"/>
                <w:sz w:val="24"/>
              </w:rPr>
            </w:pPr>
            <w:r w:rsidRPr="00181819">
              <w:rPr>
                <w:rFonts w:ascii="Times New Roman" w:hAnsi="Times New Roman" w:cs="Times New Roman"/>
                <w:i/>
                <w:sz w:val="24"/>
              </w:rPr>
              <w:t>tatjana.jelic</w:t>
            </w:r>
            <w:r w:rsidRPr="00181819">
              <w:rPr>
                <w:rFonts w:ascii="Times New Roman" w:hAnsi="Times New Roman" w:cs="Times New Roman"/>
                <w:i/>
                <w:sz w:val="24"/>
                <w:lang w:val="en-US"/>
              </w:rPr>
              <w:t>@</w:t>
            </w:r>
            <w:r w:rsidRPr="00181819">
              <w:rPr>
                <w:rFonts w:ascii="Times New Roman" w:hAnsi="Times New Roman" w:cs="Times New Roman"/>
                <w:i/>
                <w:sz w:val="24"/>
              </w:rPr>
              <w:t>opstinativat.com</w:t>
            </w:r>
          </w:p>
        </w:tc>
      </w:tr>
    </w:tbl>
    <w:p w:rsidR="003C22D5" w:rsidRPr="00181819" w:rsidRDefault="003C22D5">
      <w:pPr>
        <w:rPr>
          <w:sz w:val="24"/>
          <w:szCs w:val="24"/>
        </w:rPr>
      </w:pPr>
      <w:r w:rsidRPr="00181819">
        <w:rPr>
          <w:sz w:val="24"/>
          <w:szCs w:val="24"/>
        </w:rPr>
        <w:br w:type="page"/>
      </w:r>
    </w:p>
    <w:p w:rsidR="00DE7EFF" w:rsidRPr="00181819" w:rsidRDefault="00DE7EFF" w:rsidP="004A212C">
      <w:pPr>
        <w:jc w:val="both"/>
        <w:rPr>
          <w:sz w:val="24"/>
          <w:szCs w:val="24"/>
        </w:rPr>
      </w:pPr>
    </w:p>
    <w:p w:rsidR="00BB6FEF" w:rsidRPr="00181819" w:rsidRDefault="00A36E0F" w:rsidP="004F20A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81819">
        <w:rPr>
          <w:b/>
          <w:sz w:val="24"/>
          <w:szCs w:val="24"/>
        </w:rPr>
        <w:t>CILJEVI GODIŠNJEG PLANA POBOLJŠANJA ENERGETSKE EFIKASNOSTI</w:t>
      </w:r>
    </w:p>
    <w:p w:rsidR="004F20A0" w:rsidRPr="00181819" w:rsidRDefault="004F20A0" w:rsidP="004F20A0">
      <w:pPr>
        <w:pStyle w:val="ListParagraph"/>
        <w:ind w:left="426"/>
        <w:jc w:val="both"/>
        <w:rPr>
          <w:b/>
          <w:sz w:val="24"/>
          <w:szCs w:val="24"/>
        </w:rPr>
      </w:pPr>
    </w:p>
    <w:p w:rsidR="00784486" w:rsidRPr="00181819" w:rsidRDefault="00784486" w:rsidP="00784486">
      <w:pPr>
        <w:pStyle w:val="ListParagraph"/>
        <w:jc w:val="both"/>
        <w:rPr>
          <w:b/>
          <w:sz w:val="24"/>
          <w:szCs w:val="24"/>
        </w:rPr>
      </w:pPr>
    </w:p>
    <w:p w:rsidR="00B7771A" w:rsidRPr="00181819" w:rsidRDefault="00B7771A" w:rsidP="00944F58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sz w:val="24"/>
          <w:szCs w:val="24"/>
        </w:rPr>
      </w:pPr>
      <w:r w:rsidRPr="00181819">
        <w:rPr>
          <w:b/>
          <w:sz w:val="24"/>
          <w:szCs w:val="24"/>
        </w:rPr>
        <w:t>Postojeći okvir – osnovne informacije za plan</w:t>
      </w:r>
    </w:p>
    <w:p w:rsidR="00BB6FEF" w:rsidRPr="00181819" w:rsidRDefault="00BB52E9" w:rsidP="00077E99">
      <w:pPr>
        <w:ind w:firstLine="360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P</w:t>
      </w:r>
      <w:r w:rsidR="00B7771A" w:rsidRPr="00181819">
        <w:rPr>
          <w:sz w:val="24"/>
          <w:szCs w:val="24"/>
        </w:rPr>
        <w:t>lan</w:t>
      </w:r>
      <w:r w:rsidRPr="00181819">
        <w:rPr>
          <w:sz w:val="24"/>
          <w:szCs w:val="24"/>
        </w:rPr>
        <w:t xml:space="preserve"> poboljšanja energetske efikasnosti</w:t>
      </w:r>
      <w:r w:rsidR="00B7771A" w:rsidRPr="00181819">
        <w:rPr>
          <w:sz w:val="24"/>
          <w:szCs w:val="24"/>
        </w:rPr>
        <w:t xml:space="preserve"> za 2017. </w:t>
      </w:r>
      <w:r w:rsidRPr="00181819">
        <w:rPr>
          <w:sz w:val="24"/>
          <w:szCs w:val="24"/>
        </w:rPr>
        <w:t>g</w:t>
      </w:r>
      <w:r w:rsidR="00B7771A" w:rsidRPr="00181819">
        <w:rPr>
          <w:sz w:val="24"/>
          <w:szCs w:val="24"/>
        </w:rPr>
        <w:t xml:space="preserve">odinu usklađen je sa trogodišnjim Programom poboljšanja energetske efikasnosti i predstavlja osnovni dokument koji na bazi prikupljenih podataka i zatečenom stanju identifikuje i daje precizne i jasne odrednice za sprovođenje projekata i mjera energetske efikasnosti i korišćenja obnovljivih izvora energije na opštinskom nivou za navedenu godinu. Prihvatanje </w:t>
      </w:r>
      <w:r w:rsidR="003C22D5" w:rsidRPr="00181819">
        <w:rPr>
          <w:sz w:val="24"/>
          <w:szCs w:val="24"/>
        </w:rPr>
        <w:t>P</w:t>
      </w:r>
      <w:r w:rsidR="00B7771A" w:rsidRPr="00181819">
        <w:rPr>
          <w:sz w:val="24"/>
          <w:szCs w:val="24"/>
        </w:rPr>
        <w:t xml:space="preserve">lana kao službenog, implementacionog, dokumenta opštine Tivat za 2017. </w:t>
      </w:r>
      <w:r w:rsidR="003C22D5" w:rsidRPr="00181819">
        <w:rPr>
          <w:sz w:val="24"/>
          <w:szCs w:val="24"/>
        </w:rPr>
        <w:t>g</w:t>
      </w:r>
      <w:r w:rsidR="00B7771A" w:rsidRPr="00181819">
        <w:rPr>
          <w:sz w:val="24"/>
          <w:szCs w:val="24"/>
        </w:rPr>
        <w:t>odinu je ključni elemenat za njegovu realizaciju, te ostvarenje cilja smanjenja CO2 i planiranih energetskih ušteda u narednom periodu</w:t>
      </w:r>
      <w:r w:rsidR="003C22D5" w:rsidRPr="00181819">
        <w:rPr>
          <w:sz w:val="24"/>
          <w:szCs w:val="24"/>
        </w:rPr>
        <w:t>.</w:t>
      </w:r>
    </w:p>
    <w:p w:rsidR="003C22D5" w:rsidRPr="00181819" w:rsidRDefault="00B6346C" w:rsidP="003C22D5">
      <w:pPr>
        <w:ind w:firstLine="360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Glavne aktivnosti koje obuhvata trogodišnji Program poboljšanja energetske efikasnosti odnose se na:</w:t>
      </w:r>
    </w:p>
    <w:p w:rsidR="00B6346C" w:rsidRPr="00181819" w:rsidRDefault="00B6346C" w:rsidP="00B634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Energetski menadžment i informacioni sistem</w:t>
      </w:r>
    </w:p>
    <w:p w:rsidR="00B6346C" w:rsidRPr="00181819" w:rsidRDefault="00B6346C" w:rsidP="00B634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Administrativne zgrade i ostale objekte u nadležnosti opštine</w:t>
      </w:r>
    </w:p>
    <w:p w:rsidR="00B6346C" w:rsidRPr="00181819" w:rsidRDefault="00B6346C" w:rsidP="00B634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Javnu rasvjetu, komunalne usluge, javni transport i druge usluge u nadležnosti opštine</w:t>
      </w:r>
    </w:p>
    <w:p w:rsidR="00B6346C" w:rsidRPr="00181819" w:rsidRDefault="00B6346C" w:rsidP="00B634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Domaćinstva</w:t>
      </w:r>
    </w:p>
    <w:p w:rsidR="00B6346C" w:rsidRPr="00181819" w:rsidRDefault="00B6346C" w:rsidP="00B634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Hotelijerstvo i turizam</w:t>
      </w:r>
    </w:p>
    <w:p w:rsidR="00BB6FEF" w:rsidRPr="00181819" w:rsidRDefault="00BB6FEF" w:rsidP="00BB6FEF">
      <w:pPr>
        <w:pStyle w:val="ListParagraph"/>
        <w:ind w:left="1080"/>
        <w:jc w:val="both"/>
        <w:rPr>
          <w:sz w:val="24"/>
          <w:szCs w:val="24"/>
        </w:rPr>
      </w:pPr>
    </w:p>
    <w:p w:rsidR="00B6346C" w:rsidRPr="00181819" w:rsidRDefault="00B6346C" w:rsidP="00B6346C">
      <w:pPr>
        <w:ind w:firstLine="426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U toku dosadašnjih aktivnosti za realizaciju trogodišnjeg Programa energetske efikasnosti urađeno je sljedeće:</w:t>
      </w:r>
    </w:p>
    <w:p w:rsidR="00342CEF" w:rsidRPr="00181819" w:rsidRDefault="00342CEF" w:rsidP="00B634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Izvršeni su preleminarni energetski pregledi svih zgrada koje su u nadležnosti opštine (2015. godina)</w:t>
      </w:r>
    </w:p>
    <w:p w:rsidR="00342CEF" w:rsidRPr="00181819" w:rsidRDefault="00342CEF" w:rsidP="00B634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Izvršeni inspekcijski pregledi kotlovskih sistema i sistema za grijanje i hlađenje prostorija: Stara zgrada opštine, Nova zgrada opštine, Centar za kulturu i Sportska dvorana  (2015. godina)</w:t>
      </w:r>
    </w:p>
    <w:p w:rsidR="00B6346C" w:rsidRPr="00181819" w:rsidRDefault="00B6346C" w:rsidP="00B634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Formiran je Sekretarijat u čijoj nadležnosti je </w:t>
      </w:r>
      <w:r w:rsidR="00FD035C" w:rsidRPr="00181819">
        <w:rPr>
          <w:sz w:val="24"/>
          <w:szCs w:val="24"/>
        </w:rPr>
        <w:t xml:space="preserve">životna sredina </w:t>
      </w:r>
      <w:r w:rsidR="00342CEF" w:rsidRPr="00181819">
        <w:rPr>
          <w:sz w:val="24"/>
          <w:szCs w:val="24"/>
        </w:rPr>
        <w:t xml:space="preserve">i </w:t>
      </w:r>
      <w:r w:rsidRPr="00181819">
        <w:rPr>
          <w:sz w:val="24"/>
          <w:szCs w:val="24"/>
        </w:rPr>
        <w:t>energetska efikasnost, sistematizovano jedno radno mjesto i zaposleno lice čije su osnovne dužnosti poslovi vezani za sprovođenje mjera energetske efikasnosti i realizacija Programa i Plana poboljšanja energetske efikasnosti</w:t>
      </w:r>
      <w:r w:rsidR="00D34962" w:rsidRPr="00181819">
        <w:rPr>
          <w:sz w:val="24"/>
          <w:szCs w:val="24"/>
        </w:rPr>
        <w:t xml:space="preserve"> </w:t>
      </w:r>
    </w:p>
    <w:p w:rsidR="00D34962" w:rsidRPr="00181819" w:rsidRDefault="00D34962" w:rsidP="00D3496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Nakon dužeg prekida u radu Informacionog sistema doniranog od strane GIZ-a, sistem </w:t>
      </w:r>
      <w:r w:rsidR="0036125B">
        <w:rPr>
          <w:sz w:val="24"/>
          <w:szCs w:val="24"/>
        </w:rPr>
        <w:t xml:space="preserve">je </w:t>
      </w:r>
      <w:r w:rsidRPr="00181819">
        <w:rPr>
          <w:sz w:val="24"/>
          <w:szCs w:val="24"/>
        </w:rPr>
        <w:t>opet pokrenut, update-ovan i prilagođen trenutnim algoritmima proračuna potrošnje energenata (2016. godina)</w:t>
      </w:r>
    </w:p>
    <w:p w:rsidR="00D34962" w:rsidRPr="00181819" w:rsidRDefault="00D34962" w:rsidP="00D34962">
      <w:pPr>
        <w:ind w:firstLine="426"/>
        <w:jc w:val="both"/>
        <w:rPr>
          <w:sz w:val="24"/>
          <w:szCs w:val="24"/>
        </w:rPr>
      </w:pPr>
      <w:r w:rsidRPr="00181819">
        <w:rPr>
          <w:sz w:val="24"/>
          <w:szCs w:val="24"/>
        </w:rPr>
        <w:lastRenderedPageBreak/>
        <w:t>Problemi ili prepreke na koje se nailazilo tokom realizacije trogodišnjeg Programa poboljšanja energetske efikasnosti su sljedeći:</w:t>
      </w:r>
    </w:p>
    <w:p w:rsidR="00D34962" w:rsidRPr="00181819" w:rsidRDefault="00D34962" w:rsidP="00D3496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Opština Tivat je bila dio projekta Improvement of Energy Efficiency through an Inter – Municipal Menagment Network , koji projekat je finansiran od strane  Evropskih fondova  i u kome su bile uključene sve primorske opštine. Medjutim projekat nije realizovan i aktivnosti povodom navedenog su obustavljene.</w:t>
      </w:r>
    </w:p>
    <w:p w:rsidR="00241B09" w:rsidRPr="00181819" w:rsidRDefault="00241B09" w:rsidP="00241B0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>Informacioni sistem doniran od strane GIZ-a za potrebe funkcionisanj</w:t>
      </w:r>
      <w:r w:rsidR="0036125B">
        <w:rPr>
          <w:sz w:val="24"/>
          <w:szCs w:val="24"/>
        </w:rPr>
        <w:t>a</w:t>
      </w:r>
      <w:r w:rsidRPr="00181819">
        <w:rPr>
          <w:sz w:val="24"/>
          <w:szCs w:val="24"/>
        </w:rPr>
        <w:t xml:space="preserve"> energetskog menadžmenta nije bio u funkciji, , podaci za 2014, 2015 i 2016 godinu nisu bili unijeti. Energetski monitoring nije bio ažuran.</w:t>
      </w:r>
    </w:p>
    <w:p w:rsidR="00D34962" w:rsidRPr="00181819" w:rsidRDefault="00D34962" w:rsidP="0078448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Unutrašnja reorganizacija </w:t>
      </w:r>
      <w:r w:rsidR="00784486" w:rsidRPr="00181819">
        <w:rPr>
          <w:sz w:val="24"/>
          <w:szCs w:val="24"/>
        </w:rPr>
        <w:t>i činjenica da nadležni organ nije uspio do kraja 2016. godine završiti proces zaposlenja novog službenika  zaduženog  za poslove energetske efikasnosti, sa čim u vezi je organ funkcionisao dodatnim naporima postojećih službenika sekretarijata koji su izvorno bili zaduženi za druge poslove</w:t>
      </w:r>
    </w:p>
    <w:p w:rsidR="003C22D5" w:rsidRPr="00181819" w:rsidRDefault="004A212C" w:rsidP="003C22D5">
      <w:pPr>
        <w:ind w:firstLine="360"/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Aktivnosti u cilju sprovođenja plana energetske efikasnosti su u nadležnosti novoformiranog Sekretarijata za zaštitu životne </w:t>
      </w:r>
      <w:r w:rsidR="00DE7EFF" w:rsidRPr="00181819">
        <w:rPr>
          <w:sz w:val="24"/>
          <w:szCs w:val="24"/>
        </w:rPr>
        <w:t>i energetske efikasnosti</w:t>
      </w:r>
      <w:r w:rsidR="00A36E0F" w:rsidRPr="00181819">
        <w:rPr>
          <w:sz w:val="24"/>
          <w:szCs w:val="24"/>
        </w:rPr>
        <w:t>.</w:t>
      </w:r>
    </w:p>
    <w:p w:rsidR="00944F58" w:rsidRPr="00181819" w:rsidRDefault="00A36E0F" w:rsidP="00A36E0F">
      <w:pPr>
        <w:ind w:firstLine="360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Mjere i aktivnosti navedene u planu za 2017. godinu, finansiraće se uglavnom iz opštinskog budžeta, ali i iz drugih izvora, poput dostupnih evropskih fondova i donacija.</w:t>
      </w:r>
    </w:p>
    <w:p w:rsidR="00BB6FEF" w:rsidRPr="00181819" w:rsidRDefault="00BB6FEF" w:rsidP="00A36E0F">
      <w:pPr>
        <w:ind w:firstLine="360"/>
        <w:jc w:val="both"/>
        <w:rPr>
          <w:sz w:val="24"/>
          <w:szCs w:val="24"/>
        </w:rPr>
      </w:pPr>
    </w:p>
    <w:p w:rsidR="00944F58" w:rsidRPr="00181819" w:rsidRDefault="00944F58" w:rsidP="00A36E0F">
      <w:pPr>
        <w:pStyle w:val="ListParagraph"/>
        <w:numPr>
          <w:ilvl w:val="1"/>
          <w:numId w:val="1"/>
        </w:numPr>
        <w:tabs>
          <w:tab w:val="left" w:pos="1418"/>
        </w:tabs>
        <w:ind w:left="1134" w:hanging="720"/>
        <w:jc w:val="both"/>
        <w:rPr>
          <w:sz w:val="24"/>
          <w:szCs w:val="24"/>
        </w:rPr>
      </w:pPr>
      <w:r w:rsidRPr="00181819">
        <w:rPr>
          <w:b/>
          <w:sz w:val="24"/>
          <w:szCs w:val="24"/>
        </w:rPr>
        <w:t>Ciljevi godišnjeg plana poboljšanja energetske efikasnosti</w:t>
      </w:r>
    </w:p>
    <w:p w:rsidR="00A36E0F" w:rsidRPr="00181819" w:rsidRDefault="00A36E0F" w:rsidP="00A36E0F">
      <w:pPr>
        <w:tabs>
          <w:tab w:val="left" w:pos="426"/>
        </w:tabs>
        <w:jc w:val="both"/>
        <w:rPr>
          <w:sz w:val="24"/>
          <w:szCs w:val="24"/>
        </w:rPr>
      </w:pPr>
      <w:r w:rsidRPr="00181819">
        <w:rPr>
          <w:sz w:val="24"/>
          <w:szCs w:val="24"/>
        </w:rPr>
        <w:tab/>
      </w:r>
      <w:r w:rsidR="00944F58" w:rsidRPr="00181819">
        <w:rPr>
          <w:sz w:val="24"/>
          <w:szCs w:val="24"/>
        </w:rPr>
        <w:t xml:space="preserve">Godišnji plan poboljšanja energetske efikasnosti za 2017. </w:t>
      </w:r>
      <w:r w:rsidR="00D976C9" w:rsidRPr="00181819">
        <w:rPr>
          <w:sz w:val="24"/>
          <w:szCs w:val="24"/>
        </w:rPr>
        <w:t>g</w:t>
      </w:r>
      <w:r w:rsidR="00944F58" w:rsidRPr="00181819">
        <w:rPr>
          <w:sz w:val="24"/>
          <w:szCs w:val="24"/>
        </w:rPr>
        <w:t>odinu usklađen je sa</w:t>
      </w:r>
      <w:r w:rsidR="00D976C9" w:rsidRPr="00181819">
        <w:rPr>
          <w:sz w:val="24"/>
          <w:szCs w:val="24"/>
        </w:rPr>
        <w:t xml:space="preserve"> </w:t>
      </w:r>
      <w:r w:rsidR="0036125B" w:rsidRPr="00181819">
        <w:rPr>
          <w:sz w:val="24"/>
          <w:szCs w:val="24"/>
        </w:rPr>
        <w:t xml:space="preserve">trogodišnjim Programom poboljšanja energetske efikasnosti opštine Tivat (2014. – 2017.) </w:t>
      </w:r>
      <w:r w:rsidR="0036125B">
        <w:rPr>
          <w:sz w:val="24"/>
          <w:szCs w:val="24"/>
        </w:rPr>
        <w:t xml:space="preserve">kao i </w:t>
      </w:r>
      <w:r w:rsidR="00D976C9" w:rsidRPr="00181819">
        <w:rPr>
          <w:sz w:val="24"/>
          <w:szCs w:val="24"/>
        </w:rPr>
        <w:t>Akcionim planom energetske efikasnosti Crne Gore (2016. – 2018.) i</w:t>
      </w:r>
      <w:r w:rsidR="00944F58" w:rsidRPr="00181819">
        <w:rPr>
          <w:sz w:val="24"/>
          <w:szCs w:val="24"/>
        </w:rPr>
        <w:t xml:space="preserve"> i predstavlja osnovni dokument koji na bazi prikupljenih podataka o zatečenom stanju identifikuje i daje precizne i jasne odrednice za sprovođenje projekata i mjera en</w:t>
      </w:r>
      <w:r w:rsidR="00D976C9" w:rsidRPr="00181819">
        <w:rPr>
          <w:sz w:val="24"/>
          <w:szCs w:val="24"/>
        </w:rPr>
        <w:t>ergetske efikasnosti i</w:t>
      </w:r>
      <w:r w:rsidR="00944F58" w:rsidRPr="00181819">
        <w:rPr>
          <w:sz w:val="24"/>
          <w:szCs w:val="24"/>
        </w:rPr>
        <w:t xml:space="preserve"> korišćenja obnovljivih izvora energije na opštinskom nivou za navedenu godinu. </w:t>
      </w:r>
      <w:r w:rsidRPr="00181819">
        <w:rPr>
          <w:sz w:val="24"/>
          <w:szCs w:val="24"/>
        </w:rPr>
        <w:t xml:space="preserve">Obzirom na probleme i prepreke u realizaciji Plana za 2016. godinu, koje su detaljno opisane u Izvještaju o realizaciji Plana, dio aktivnosti je prenijet za tekuću godinu. </w:t>
      </w:r>
    </w:p>
    <w:p w:rsidR="00D976C9" w:rsidRPr="00181819" w:rsidRDefault="00A36E0F" w:rsidP="00A36E0F">
      <w:pPr>
        <w:tabs>
          <w:tab w:val="left" w:pos="426"/>
        </w:tabs>
        <w:jc w:val="both"/>
        <w:rPr>
          <w:sz w:val="24"/>
          <w:szCs w:val="24"/>
        </w:rPr>
      </w:pPr>
      <w:r w:rsidRPr="00181819">
        <w:rPr>
          <w:sz w:val="24"/>
          <w:szCs w:val="24"/>
        </w:rPr>
        <w:tab/>
      </w:r>
      <w:r w:rsidR="00944F58" w:rsidRPr="00181819">
        <w:rPr>
          <w:sz w:val="24"/>
          <w:szCs w:val="24"/>
        </w:rPr>
        <w:t xml:space="preserve">Prihvatanje godišnjeg plana kao službenog, implementacionog dokumenta opštine Tivat za 2017. </w:t>
      </w:r>
      <w:r w:rsidR="00D976C9" w:rsidRPr="00181819">
        <w:rPr>
          <w:sz w:val="24"/>
          <w:szCs w:val="24"/>
        </w:rPr>
        <w:t>g</w:t>
      </w:r>
      <w:r w:rsidR="00944F58" w:rsidRPr="00181819">
        <w:rPr>
          <w:sz w:val="24"/>
          <w:szCs w:val="24"/>
        </w:rPr>
        <w:t>odinu je ključni element za njegovu realizaciju, te ostvarenje cilja smanjenja CO2 i planiranih energetskih ušteda u narednom periodu</w:t>
      </w:r>
      <w:r w:rsidR="00D976C9" w:rsidRPr="00181819">
        <w:rPr>
          <w:sz w:val="24"/>
          <w:szCs w:val="24"/>
        </w:rPr>
        <w:t>, uz poboljšanje komfora i uslova života u opštini. Iz tog razloga, s jedne strane, važno je da su vodeći ljudi gradske uprave uključeni u proces i</w:t>
      </w:r>
      <w:r w:rsidR="0036125B">
        <w:rPr>
          <w:sz w:val="24"/>
          <w:szCs w:val="24"/>
        </w:rPr>
        <w:t>zrade, implementacije i praćenje</w:t>
      </w:r>
      <w:r w:rsidR="00D976C9" w:rsidRPr="00181819">
        <w:rPr>
          <w:sz w:val="24"/>
          <w:szCs w:val="24"/>
        </w:rPr>
        <w:t xml:space="preserve"> plana. Od posebnog značaja u realizaciji plana je i uloga nadležnog Sekretarijata, koji će raditi na realizaciji predviđenih aktivnosti. </w:t>
      </w:r>
    </w:p>
    <w:p w:rsidR="00D976C9" w:rsidRPr="00181819" w:rsidRDefault="00241B09" w:rsidP="00944F58">
      <w:pPr>
        <w:tabs>
          <w:tab w:val="left" w:pos="1418"/>
        </w:tabs>
        <w:jc w:val="both"/>
        <w:rPr>
          <w:sz w:val="24"/>
          <w:szCs w:val="24"/>
        </w:rPr>
      </w:pPr>
      <w:r w:rsidRPr="00181819">
        <w:rPr>
          <w:sz w:val="24"/>
          <w:szCs w:val="24"/>
        </w:rPr>
        <w:t>Osnovni ciljevi plana za 2017. g</w:t>
      </w:r>
      <w:r w:rsidR="00D976C9" w:rsidRPr="00181819">
        <w:rPr>
          <w:sz w:val="24"/>
          <w:szCs w:val="24"/>
        </w:rPr>
        <w:t>odinu su:</w:t>
      </w:r>
    </w:p>
    <w:p w:rsidR="00861DCC" w:rsidRPr="00181819" w:rsidRDefault="00D976C9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lastRenderedPageBreak/>
        <w:t>Izrada Lokalnog energetskog plana</w:t>
      </w:r>
    </w:p>
    <w:p w:rsidR="00861DCC" w:rsidRPr="00181819" w:rsidRDefault="00241B09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Izrada trogodišnjeg Programa poboljšanja energetske efikasnosti </w:t>
      </w:r>
    </w:p>
    <w:p w:rsidR="00861DCC" w:rsidRPr="00181819" w:rsidRDefault="00D976C9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Izrada geografskog informacionog sistema (GIS) javne rasvjete</w:t>
      </w:r>
      <w:r w:rsidR="00241B09" w:rsidRPr="00181819">
        <w:rPr>
          <w:sz w:val="24"/>
          <w:szCs w:val="24"/>
        </w:rPr>
        <w:t xml:space="preserve"> za teritoriju opštine Tivat</w:t>
      </w:r>
    </w:p>
    <w:p w:rsidR="00861DCC" w:rsidRPr="00181819" w:rsidRDefault="00D976C9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Izrada </w:t>
      </w:r>
      <w:r w:rsidR="0036125B">
        <w:rPr>
          <w:sz w:val="24"/>
          <w:szCs w:val="24"/>
        </w:rPr>
        <w:t xml:space="preserve">projekta </w:t>
      </w:r>
      <w:r w:rsidRPr="00181819">
        <w:rPr>
          <w:sz w:val="24"/>
          <w:szCs w:val="24"/>
        </w:rPr>
        <w:t>i realizacija ugradnje solarnih kolektora na zgradi sportske dvorane</w:t>
      </w:r>
    </w:p>
    <w:p w:rsidR="00861DCC" w:rsidRPr="00181819" w:rsidRDefault="00D976C9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Izrada</w:t>
      </w:r>
      <w:r w:rsidR="0036125B">
        <w:rPr>
          <w:sz w:val="24"/>
          <w:szCs w:val="24"/>
        </w:rPr>
        <w:t xml:space="preserve"> glavnog projekta </w:t>
      </w:r>
      <w:r w:rsidRPr="00181819">
        <w:rPr>
          <w:sz w:val="24"/>
          <w:szCs w:val="24"/>
        </w:rPr>
        <w:t xml:space="preserve"> ugradnje solarnih panela na novoj zgradi op</w:t>
      </w:r>
      <w:r w:rsidR="00241B09" w:rsidRPr="00181819">
        <w:rPr>
          <w:sz w:val="24"/>
          <w:szCs w:val="24"/>
        </w:rPr>
        <w:t>š</w:t>
      </w:r>
      <w:r w:rsidRPr="00181819">
        <w:rPr>
          <w:sz w:val="24"/>
          <w:szCs w:val="24"/>
        </w:rPr>
        <w:t>tine</w:t>
      </w:r>
    </w:p>
    <w:p w:rsidR="00861DCC" w:rsidRPr="00181819" w:rsidRDefault="00D976C9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Rekonstrukcija javne rasvjete</w:t>
      </w:r>
      <w:r w:rsidR="00A36E0F" w:rsidRPr="00181819">
        <w:rPr>
          <w:sz w:val="24"/>
          <w:szCs w:val="24"/>
        </w:rPr>
        <w:t xml:space="preserve"> u smislu zamjene svjetiljki, energetski efikasnijim</w:t>
      </w:r>
    </w:p>
    <w:p w:rsidR="00861DCC" w:rsidRPr="00181819" w:rsidRDefault="00241B09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Elektrifikacija Velikog gradskog parka efikasnom rasvjetom</w:t>
      </w:r>
    </w:p>
    <w:p w:rsidR="00861DCC" w:rsidRPr="00181819" w:rsidRDefault="0036125B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Unapredjenje i</w:t>
      </w:r>
      <w:r w:rsidR="00BB6FEF" w:rsidRPr="00181819">
        <w:rPr>
          <w:sz w:val="24"/>
          <w:szCs w:val="24"/>
        </w:rPr>
        <w:t>mplementacij</w:t>
      </w:r>
      <w:r>
        <w:rPr>
          <w:sz w:val="24"/>
          <w:szCs w:val="24"/>
        </w:rPr>
        <w:t>e</w:t>
      </w:r>
      <w:r w:rsidR="00BB6FEF" w:rsidRPr="00181819">
        <w:rPr>
          <w:sz w:val="24"/>
          <w:szCs w:val="24"/>
        </w:rPr>
        <w:t xml:space="preserve"> mjera energetske efikasnosti u projektnoj dokumentaciji čiji nosilac je opština </w:t>
      </w:r>
    </w:p>
    <w:p w:rsidR="00861DCC" w:rsidRPr="00181819" w:rsidRDefault="00BB6FEF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Promovisati nove vidove urbanog mobilijara i  parternog uredjenja  koji ostvaruju veće uštede energije ( solarni markeri na pješačkim prelazima, solarne klupe, električna bicikla, solarne staze itd.)</w:t>
      </w:r>
    </w:p>
    <w:p w:rsidR="00861DCC" w:rsidRPr="00181819" w:rsidRDefault="00BB6FEF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Razmotriti mogućnosti unapredjenja benefita za implementaciju mjera energetske efikasnosti kroz Odluku o naknadi za komunalno opremanje gradjevinskog zemljišta </w:t>
      </w:r>
    </w:p>
    <w:p w:rsidR="00861DCC" w:rsidRPr="00181819" w:rsidRDefault="00BB6FEF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Izraditi materijal ( flajere) u cilju edukacije i promovisanja efikasne potrošnje za potrebe izrade projektne dokumentacije</w:t>
      </w:r>
    </w:p>
    <w:p w:rsidR="00861DCC" w:rsidRPr="00181819" w:rsidRDefault="00861DCC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 xml:space="preserve">Kontinuirana edukacija stanovništva svih uzrasta kroz aktivnosti Sekretarijata </w:t>
      </w:r>
    </w:p>
    <w:p w:rsidR="00861DCC" w:rsidRPr="00181819" w:rsidRDefault="00861DCC" w:rsidP="00861DCC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Kontinuirana edukacija službenika sekretarijata/ energetskog menadžera</w:t>
      </w:r>
    </w:p>
    <w:p w:rsidR="00241B09" w:rsidRPr="00181819" w:rsidRDefault="00241B09" w:rsidP="00D976C9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t>Uspostavljanje infrastrukture za realizaciju projekta permakulture kroz izgradnju energetski nezavisnog objekta sa okolnim prostorom neoph</w:t>
      </w:r>
      <w:r w:rsidR="00BB6FEF" w:rsidRPr="00181819">
        <w:rPr>
          <w:sz w:val="24"/>
          <w:szCs w:val="24"/>
        </w:rPr>
        <w:t>odnim za implementaciju mjera i</w:t>
      </w:r>
      <w:r w:rsidRPr="00181819">
        <w:rPr>
          <w:sz w:val="24"/>
          <w:szCs w:val="24"/>
        </w:rPr>
        <w:t>z segmenta zaštite životne sredine</w:t>
      </w:r>
      <w:r w:rsidR="0036125B">
        <w:rPr>
          <w:sz w:val="24"/>
          <w:szCs w:val="24"/>
        </w:rPr>
        <w:t xml:space="preserve"> i</w:t>
      </w:r>
      <w:r w:rsidRPr="00181819">
        <w:rPr>
          <w:sz w:val="24"/>
          <w:szCs w:val="24"/>
        </w:rPr>
        <w:t xml:space="preserve"> poljoprivrede sa akcentom na edukaciju i preduzetništvo . Navedeni projekat je pionirski poduhvat , još uvijek u začetku</w:t>
      </w:r>
      <w:r w:rsidR="00BB6FEF" w:rsidRPr="00181819">
        <w:rPr>
          <w:sz w:val="24"/>
          <w:szCs w:val="24"/>
        </w:rPr>
        <w:t>, koji bi trebao da bude isklju</w:t>
      </w:r>
      <w:r w:rsidRPr="00181819">
        <w:rPr>
          <w:sz w:val="24"/>
          <w:szCs w:val="24"/>
        </w:rPr>
        <w:t>čivo u javnoj namjeni sa ciljem promovisanja zajednice kao suštinskog nosioca aktivnosti sa multifunkcionalnim i dugoročnim ci</w:t>
      </w:r>
      <w:r w:rsidR="00BB6FEF" w:rsidRPr="00181819">
        <w:rPr>
          <w:sz w:val="24"/>
          <w:szCs w:val="24"/>
        </w:rPr>
        <w:t>ljevima. Slijedeći koncept proj</w:t>
      </w:r>
      <w:r w:rsidRPr="00181819">
        <w:rPr>
          <w:sz w:val="24"/>
          <w:szCs w:val="24"/>
        </w:rPr>
        <w:t>e</w:t>
      </w:r>
      <w:r w:rsidR="00BB6FEF" w:rsidRPr="00181819">
        <w:rPr>
          <w:sz w:val="24"/>
          <w:szCs w:val="24"/>
        </w:rPr>
        <w:t>k</w:t>
      </w:r>
      <w:r w:rsidRPr="00181819">
        <w:rPr>
          <w:sz w:val="24"/>
          <w:szCs w:val="24"/>
        </w:rPr>
        <w:t xml:space="preserve">ta kao izvorne ideje </w:t>
      </w:r>
      <w:r w:rsidR="00BB6FEF" w:rsidRPr="00181819">
        <w:rPr>
          <w:sz w:val="24"/>
          <w:szCs w:val="24"/>
        </w:rPr>
        <w:t>S</w:t>
      </w:r>
      <w:r w:rsidRPr="00181819">
        <w:rPr>
          <w:sz w:val="24"/>
          <w:szCs w:val="24"/>
        </w:rPr>
        <w:t>ekretarijata za zaštitu životne sredine i ener</w:t>
      </w:r>
      <w:r w:rsidR="00BB6FEF" w:rsidRPr="00181819">
        <w:rPr>
          <w:sz w:val="24"/>
          <w:szCs w:val="24"/>
        </w:rPr>
        <w:t>get</w:t>
      </w:r>
      <w:r w:rsidRPr="00181819">
        <w:rPr>
          <w:sz w:val="24"/>
          <w:szCs w:val="24"/>
        </w:rPr>
        <w:t>sku efikasnost, uvjerenja smo da bi isti bio pogodan za realizaciju kroz sisteme grantova i donacija iz evropskih fondova.</w:t>
      </w:r>
    </w:p>
    <w:p w:rsidR="00241B09" w:rsidRPr="00181819" w:rsidRDefault="00241B09" w:rsidP="00241B09">
      <w:pPr>
        <w:pStyle w:val="ListParagraph"/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3C22D5" w:rsidRPr="00181819" w:rsidRDefault="003C22D5" w:rsidP="00D976C9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81819">
        <w:rPr>
          <w:sz w:val="24"/>
          <w:szCs w:val="24"/>
        </w:rPr>
        <w:br w:type="page"/>
      </w:r>
    </w:p>
    <w:p w:rsidR="005C01B7" w:rsidRDefault="005C01B7" w:rsidP="00A36E0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  <w:sectPr w:rsidR="005C01B7" w:rsidSect="00770E4C"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212C" w:rsidRDefault="00A36E0F" w:rsidP="00A36E0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6E0F">
        <w:rPr>
          <w:b/>
          <w:sz w:val="24"/>
          <w:szCs w:val="24"/>
        </w:rPr>
        <w:lastRenderedPageBreak/>
        <w:t>PLANIRANE MJERE ZA POBOLJŠANJE ENERGETSKE EFIKASNOSTI</w:t>
      </w:r>
    </w:p>
    <w:p w:rsidR="00A36E0F" w:rsidRDefault="005C01B7" w:rsidP="00A36E0F">
      <w:pPr>
        <w:jc w:val="both"/>
        <w:rPr>
          <w:sz w:val="24"/>
          <w:szCs w:val="24"/>
        </w:rPr>
      </w:pPr>
      <w:r w:rsidRPr="005C01B7">
        <w:rPr>
          <w:sz w:val="24"/>
          <w:szCs w:val="24"/>
        </w:rPr>
        <w:t xml:space="preserve">Tabela 3.1 prikazuje spisak mjera za poboljšanje energetske efikasnosti koje su planirane za </w:t>
      </w:r>
      <w:r w:rsidR="0099272A">
        <w:rPr>
          <w:sz w:val="24"/>
          <w:szCs w:val="24"/>
        </w:rPr>
        <w:t>2017.</w:t>
      </w:r>
      <w:r w:rsidRPr="005C01B7">
        <w:rPr>
          <w:sz w:val="24"/>
          <w:szCs w:val="24"/>
        </w:rPr>
        <w:t xml:space="preserve"> godinu uz informacije o vremenskom okviu i angažmanima implementacije.</w:t>
      </w:r>
    </w:p>
    <w:p w:rsidR="00012608" w:rsidRPr="00012608" w:rsidRDefault="00012608" w:rsidP="0001260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3.1. Mjere za poboljšanje energetske efikasnosti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9"/>
        <w:gridCol w:w="1636"/>
        <w:gridCol w:w="1450"/>
        <w:gridCol w:w="1167"/>
        <w:gridCol w:w="1585"/>
        <w:gridCol w:w="1344"/>
      </w:tblGrid>
      <w:tr w:rsidR="00454A3B" w:rsidRPr="005C01B7" w:rsidTr="00C91A00">
        <w:trPr>
          <w:trHeight w:val="2272"/>
          <w:tblHeader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5C01B7" w:rsidRPr="00454A3B" w:rsidRDefault="005C01B7" w:rsidP="003C41D6">
            <w:pPr>
              <w:jc w:val="center"/>
              <w:rPr>
                <w:b/>
                <w:sz w:val="18"/>
                <w:szCs w:val="24"/>
              </w:rPr>
            </w:pPr>
            <w:r w:rsidRPr="00454A3B">
              <w:rPr>
                <w:b/>
                <w:sz w:val="18"/>
                <w:szCs w:val="24"/>
              </w:rPr>
              <w:t>Br.</w:t>
            </w:r>
          </w:p>
        </w:tc>
        <w:tc>
          <w:tcPr>
            <w:tcW w:w="1429" w:type="dxa"/>
            <w:shd w:val="clear" w:color="auto" w:fill="EAF1DD" w:themeFill="accent3" w:themeFillTint="33"/>
            <w:vAlign w:val="center"/>
          </w:tcPr>
          <w:p w:rsidR="005C01B7" w:rsidRPr="005C01B7" w:rsidRDefault="005C01B7" w:rsidP="003C41D6">
            <w:pPr>
              <w:jc w:val="center"/>
              <w:rPr>
                <w:b/>
                <w:sz w:val="24"/>
                <w:szCs w:val="24"/>
              </w:rPr>
            </w:pPr>
            <w:r w:rsidRPr="005C01B7">
              <w:rPr>
                <w:b/>
                <w:sz w:val="24"/>
                <w:szCs w:val="24"/>
              </w:rPr>
              <w:t>Naziv mjere</w:t>
            </w:r>
          </w:p>
        </w:tc>
        <w:tc>
          <w:tcPr>
            <w:tcW w:w="1636" w:type="dxa"/>
            <w:shd w:val="clear" w:color="auto" w:fill="EAF1DD" w:themeFill="accent3" w:themeFillTint="33"/>
            <w:vAlign w:val="center"/>
          </w:tcPr>
          <w:p w:rsidR="005C01B7" w:rsidRPr="005C01B7" w:rsidRDefault="005C01B7" w:rsidP="003C41D6">
            <w:pPr>
              <w:jc w:val="center"/>
              <w:rPr>
                <w:b/>
                <w:sz w:val="24"/>
                <w:szCs w:val="24"/>
              </w:rPr>
            </w:pPr>
            <w:r w:rsidRPr="005C01B7">
              <w:rPr>
                <w:b/>
                <w:sz w:val="24"/>
                <w:szCs w:val="24"/>
              </w:rPr>
              <w:t>Kratak opis mjere</w:t>
            </w:r>
          </w:p>
        </w:tc>
        <w:tc>
          <w:tcPr>
            <w:tcW w:w="1450" w:type="dxa"/>
            <w:shd w:val="clear" w:color="auto" w:fill="EAF1DD" w:themeFill="accent3" w:themeFillTint="33"/>
            <w:vAlign w:val="center"/>
          </w:tcPr>
          <w:p w:rsidR="005C01B7" w:rsidRPr="005C01B7" w:rsidRDefault="005C01B7" w:rsidP="003C41D6">
            <w:pPr>
              <w:jc w:val="center"/>
              <w:rPr>
                <w:b/>
                <w:sz w:val="24"/>
                <w:szCs w:val="24"/>
              </w:rPr>
            </w:pPr>
            <w:r w:rsidRPr="005C01B7">
              <w:rPr>
                <w:b/>
                <w:sz w:val="24"/>
                <w:szCs w:val="24"/>
              </w:rPr>
              <w:t>Poziv na program energetske efikasnosti</w:t>
            </w:r>
          </w:p>
        </w:tc>
        <w:tc>
          <w:tcPr>
            <w:tcW w:w="1167" w:type="dxa"/>
            <w:shd w:val="clear" w:color="auto" w:fill="EAF1DD" w:themeFill="accent3" w:themeFillTint="33"/>
            <w:vAlign w:val="center"/>
          </w:tcPr>
          <w:p w:rsidR="005C01B7" w:rsidRPr="00454A3B" w:rsidRDefault="005C01B7" w:rsidP="00454A3B">
            <w:pPr>
              <w:jc w:val="center"/>
              <w:rPr>
                <w:b/>
                <w:szCs w:val="24"/>
              </w:rPr>
            </w:pPr>
            <w:r w:rsidRPr="00454A3B">
              <w:rPr>
                <w:b/>
                <w:szCs w:val="24"/>
              </w:rPr>
              <w:t>Period impleme</w:t>
            </w:r>
            <w:r w:rsidR="00454A3B">
              <w:rPr>
                <w:b/>
                <w:szCs w:val="24"/>
              </w:rPr>
              <w:t>-</w:t>
            </w:r>
            <w:r w:rsidRPr="00454A3B">
              <w:rPr>
                <w:b/>
                <w:szCs w:val="24"/>
              </w:rPr>
              <w:t>ntacije</w:t>
            </w:r>
          </w:p>
        </w:tc>
        <w:tc>
          <w:tcPr>
            <w:tcW w:w="1585" w:type="dxa"/>
            <w:shd w:val="clear" w:color="auto" w:fill="EAF1DD" w:themeFill="accent3" w:themeFillTint="33"/>
            <w:vAlign w:val="center"/>
          </w:tcPr>
          <w:p w:rsidR="005C01B7" w:rsidRPr="005C01B7" w:rsidRDefault="005C01B7" w:rsidP="003C41D6">
            <w:pPr>
              <w:jc w:val="center"/>
              <w:rPr>
                <w:b/>
                <w:sz w:val="24"/>
                <w:szCs w:val="24"/>
              </w:rPr>
            </w:pPr>
            <w:r w:rsidRPr="005C01B7">
              <w:rPr>
                <w:b/>
                <w:sz w:val="24"/>
                <w:szCs w:val="24"/>
              </w:rPr>
              <w:t>Odgovornost za impleme</w:t>
            </w:r>
            <w:r w:rsidR="00454A3B">
              <w:rPr>
                <w:b/>
                <w:sz w:val="24"/>
                <w:szCs w:val="24"/>
              </w:rPr>
              <w:t xml:space="preserve"> -</w:t>
            </w:r>
            <w:r w:rsidRPr="005C01B7">
              <w:rPr>
                <w:b/>
                <w:sz w:val="24"/>
                <w:szCs w:val="24"/>
              </w:rPr>
              <w:t>ntaciju</w:t>
            </w:r>
          </w:p>
        </w:tc>
        <w:tc>
          <w:tcPr>
            <w:tcW w:w="1344" w:type="dxa"/>
            <w:shd w:val="clear" w:color="auto" w:fill="EAF1DD" w:themeFill="accent3" w:themeFillTint="33"/>
            <w:vAlign w:val="center"/>
          </w:tcPr>
          <w:p w:rsidR="005C01B7" w:rsidRPr="005C01B7" w:rsidRDefault="005C01B7" w:rsidP="003C41D6">
            <w:pPr>
              <w:jc w:val="center"/>
              <w:rPr>
                <w:b/>
                <w:sz w:val="24"/>
                <w:szCs w:val="24"/>
              </w:rPr>
            </w:pPr>
            <w:r w:rsidRPr="005C01B7">
              <w:rPr>
                <w:b/>
                <w:sz w:val="24"/>
                <w:szCs w:val="24"/>
              </w:rPr>
              <w:t>Aranžmani impleme</w:t>
            </w:r>
            <w:r w:rsidR="00454A3B">
              <w:rPr>
                <w:b/>
                <w:sz w:val="24"/>
                <w:szCs w:val="24"/>
              </w:rPr>
              <w:t>-</w:t>
            </w:r>
            <w:r w:rsidRPr="005C01B7">
              <w:rPr>
                <w:b/>
                <w:sz w:val="24"/>
                <w:szCs w:val="24"/>
              </w:rPr>
              <w:t xml:space="preserve">ntacije </w:t>
            </w:r>
            <w:r w:rsidRPr="003C41D6">
              <w:rPr>
                <w:sz w:val="20"/>
                <w:szCs w:val="24"/>
              </w:rPr>
              <w:t>(tenderi, ugovori, krajnji rokovi aktivnosti, saradnja sa drugim stranama, i td.)</w:t>
            </w:r>
          </w:p>
        </w:tc>
      </w:tr>
      <w:tr w:rsidR="00454A3B" w:rsidRPr="000E54A2" w:rsidTr="00C91A0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C41D6" w:rsidRPr="00454A3B" w:rsidRDefault="003C41D6" w:rsidP="005C01B7">
            <w:pPr>
              <w:rPr>
                <w:b/>
                <w:sz w:val="18"/>
                <w:szCs w:val="24"/>
              </w:rPr>
            </w:pPr>
            <w:r w:rsidRPr="00454A3B">
              <w:rPr>
                <w:b/>
                <w:sz w:val="18"/>
                <w:szCs w:val="24"/>
              </w:rPr>
              <w:t>EE1</w:t>
            </w:r>
          </w:p>
        </w:tc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:rsidR="003C41D6" w:rsidRPr="000E54A2" w:rsidRDefault="003C41D6" w:rsidP="005C01B7">
            <w:pPr>
              <w:rPr>
                <w:b/>
                <w:sz w:val="24"/>
                <w:szCs w:val="24"/>
              </w:rPr>
            </w:pPr>
            <w:r w:rsidRPr="000E54A2">
              <w:rPr>
                <w:b/>
                <w:sz w:val="24"/>
                <w:szCs w:val="24"/>
              </w:rPr>
              <w:t>RAZVOJ ENERGETSKOG MENADŽMENTA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3C41D6" w:rsidRPr="000E54A2" w:rsidRDefault="003C41D6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3C41D6" w:rsidRPr="000E54A2" w:rsidRDefault="003C41D6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3C41D6" w:rsidRPr="000E54A2" w:rsidRDefault="003C41D6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3C41D6" w:rsidRPr="000E54A2" w:rsidRDefault="003C41D6" w:rsidP="005C01B7">
            <w:pPr>
              <w:rPr>
                <w:b/>
                <w:sz w:val="24"/>
                <w:szCs w:val="24"/>
              </w:rPr>
            </w:pPr>
          </w:p>
        </w:tc>
      </w:tr>
      <w:tr w:rsidR="00454A3B" w:rsidTr="00012608">
        <w:trPr>
          <w:trHeight w:val="6227"/>
        </w:trPr>
        <w:tc>
          <w:tcPr>
            <w:tcW w:w="675" w:type="dxa"/>
            <w:vAlign w:val="center"/>
          </w:tcPr>
          <w:p w:rsidR="005C01B7" w:rsidRPr="00454A3B" w:rsidRDefault="003C41D6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EE1.1</w:t>
            </w:r>
          </w:p>
        </w:tc>
        <w:tc>
          <w:tcPr>
            <w:tcW w:w="1429" w:type="dxa"/>
            <w:vAlign w:val="center"/>
          </w:tcPr>
          <w:p w:rsidR="005C01B7" w:rsidRDefault="003C41D6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</w:t>
            </w:r>
          </w:p>
        </w:tc>
        <w:tc>
          <w:tcPr>
            <w:tcW w:w="1636" w:type="dxa"/>
            <w:vAlign w:val="center"/>
          </w:tcPr>
          <w:p w:rsidR="005C01B7" w:rsidRDefault="003C41D6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Učešće na međunaro</w:t>
            </w:r>
            <w:r w:rsidR="00C91A0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dnim sajmovima i konferencija</w:t>
            </w:r>
            <w:r w:rsidR="00C91A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ma. Specijalistički kursevi i upoznavanje sa primjerima dobre prakse</w:t>
            </w:r>
          </w:p>
        </w:tc>
        <w:tc>
          <w:tcPr>
            <w:tcW w:w="1450" w:type="dxa"/>
            <w:vAlign w:val="center"/>
          </w:tcPr>
          <w:p w:rsidR="005C01B7" w:rsidRDefault="002D2180" w:rsidP="007015C6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Nadogra</w:t>
            </w:r>
            <w:r w:rsidR="00C91A00">
              <w:rPr>
                <w:sz w:val="24"/>
                <w:szCs w:val="24"/>
              </w:rPr>
              <w:t xml:space="preserve"> -</w:t>
            </w:r>
            <w:r w:rsidRPr="002D2180">
              <w:rPr>
                <w:sz w:val="24"/>
                <w:szCs w:val="24"/>
              </w:rPr>
              <w:t>dnja znanja iz ove oblasti, specijalisti</w:t>
            </w:r>
            <w:r w:rsidR="00C91A00">
              <w:rPr>
                <w:sz w:val="24"/>
                <w:szCs w:val="24"/>
              </w:rPr>
              <w:t xml:space="preserve"> -</w:t>
            </w:r>
            <w:r w:rsidRPr="002D2180">
              <w:rPr>
                <w:sz w:val="24"/>
                <w:szCs w:val="24"/>
              </w:rPr>
              <w:t>čki kursevi i upoznava</w:t>
            </w:r>
            <w:r w:rsidR="00C91A00">
              <w:rPr>
                <w:sz w:val="24"/>
                <w:szCs w:val="24"/>
              </w:rPr>
              <w:t xml:space="preserve"> -</w:t>
            </w:r>
            <w:r w:rsidRPr="002D2180">
              <w:rPr>
                <w:sz w:val="24"/>
                <w:szCs w:val="24"/>
              </w:rPr>
              <w:t>nje sa primjerima dobre prakse u regionu , učešće na medjunaro</w:t>
            </w:r>
            <w:r w:rsidR="00C91A00">
              <w:rPr>
                <w:sz w:val="24"/>
                <w:szCs w:val="24"/>
              </w:rPr>
              <w:t xml:space="preserve"> -</w:t>
            </w:r>
            <w:r w:rsidRPr="002D2180">
              <w:rPr>
                <w:sz w:val="24"/>
                <w:szCs w:val="24"/>
              </w:rPr>
              <w:t>dnim  konferenci</w:t>
            </w:r>
            <w:r w:rsidR="00C91A00">
              <w:rPr>
                <w:sz w:val="24"/>
                <w:szCs w:val="24"/>
              </w:rPr>
              <w:t>-</w:t>
            </w:r>
            <w:r w:rsidRPr="002D2180">
              <w:rPr>
                <w:sz w:val="24"/>
                <w:szCs w:val="24"/>
              </w:rPr>
              <w:t>jama i sajmovima.</w:t>
            </w:r>
            <w:r>
              <w:rPr>
                <w:sz w:val="24"/>
                <w:szCs w:val="24"/>
              </w:rPr>
              <w:t xml:space="preserve"> (IM2)</w:t>
            </w:r>
          </w:p>
        </w:tc>
        <w:tc>
          <w:tcPr>
            <w:tcW w:w="1167" w:type="dxa"/>
            <w:vAlign w:val="center"/>
          </w:tcPr>
          <w:p w:rsidR="005C01B7" w:rsidRDefault="003C41D6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</w:t>
            </w:r>
            <w:r w:rsidR="00C91A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irano u zavisno</w:t>
            </w:r>
            <w:r w:rsidR="00C91A0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sti od usklađenosti događaja sa internim aktivno</w:t>
            </w:r>
            <w:r w:rsidR="00C91A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stima</w:t>
            </w:r>
          </w:p>
        </w:tc>
        <w:tc>
          <w:tcPr>
            <w:tcW w:w="1585" w:type="dxa"/>
            <w:vAlign w:val="center"/>
          </w:tcPr>
          <w:p w:rsidR="005C01B7" w:rsidRDefault="000E54A2" w:rsidP="000E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Nadležni Sekretarijat</w:t>
            </w:r>
          </w:p>
        </w:tc>
        <w:tc>
          <w:tcPr>
            <w:tcW w:w="1344" w:type="dxa"/>
            <w:vAlign w:val="center"/>
          </w:tcPr>
          <w:p w:rsidR="005C01B7" w:rsidRDefault="003C41D6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saradnja sa partne</w:t>
            </w:r>
            <w:r w:rsidR="00C91A0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rskim organiza</w:t>
            </w:r>
            <w:r w:rsidR="00C91A0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cijama</w:t>
            </w:r>
          </w:p>
        </w:tc>
      </w:tr>
      <w:tr w:rsidR="00454A3B" w:rsidTr="00012608">
        <w:trPr>
          <w:trHeight w:val="2262"/>
        </w:trPr>
        <w:tc>
          <w:tcPr>
            <w:tcW w:w="675" w:type="dxa"/>
            <w:vAlign w:val="center"/>
          </w:tcPr>
          <w:p w:rsidR="005008B4" w:rsidRPr="00454A3B" w:rsidRDefault="005008B4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EE1.2</w:t>
            </w:r>
          </w:p>
        </w:tc>
        <w:tc>
          <w:tcPr>
            <w:tcW w:w="1429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LEP-a</w:t>
            </w:r>
          </w:p>
        </w:tc>
        <w:tc>
          <w:tcPr>
            <w:tcW w:w="1636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Lokalnog energetskog plana za period od 10 godina</w:t>
            </w:r>
          </w:p>
        </w:tc>
        <w:tc>
          <w:tcPr>
            <w:tcW w:w="1450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kvartal</w:t>
            </w:r>
          </w:p>
        </w:tc>
        <w:tc>
          <w:tcPr>
            <w:tcW w:w="1585" w:type="dxa"/>
            <w:vAlign w:val="center"/>
          </w:tcPr>
          <w:p w:rsidR="005008B4" w:rsidRDefault="005008B4" w:rsidP="000E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Nadležni Sekretarijat</w:t>
            </w:r>
          </w:p>
        </w:tc>
        <w:tc>
          <w:tcPr>
            <w:tcW w:w="1344" w:type="dxa"/>
            <w:vAlign w:val="center"/>
          </w:tcPr>
          <w:p w:rsidR="005008B4" w:rsidRDefault="005008B4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saradnja sa partne</w:t>
            </w:r>
            <w:r w:rsidR="00C91A0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rskim organizaci</w:t>
            </w:r>
            <w:r w:rsidR="00C91A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jama</w:t>
            </w:r>
          </w:p>
        </w:tc>
      </w:tr>
      <w:tr w:rsidR="00454A3B" w:rsidRPr="000E54A2" w:rsidTr="00C91A0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08B4" w:rsidRPr="00454A3B" w:rsidRDefault="005008B4" w:rsidP="005C01B7">
            <w:pPr>
              <w:rPr>
                <w:b/>
                <w:sz w:val="18"/>
                <w:szCs w:val="24"/>
              </w:rPr>
            </w:pPr>
            <w:r w:rsidRPr="00454A3B">
              <w:rPr>
                <w:b/>
                <w:sz w:val="18"/>
                <w:szCs w:val="24"/>
              </w:rPr>
              <w:lastRenderedPageBreak/>
              <w:t>EE2</w:t>
            </w:r>
          </w:p>
        </w:tc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:rsidR="005008B4" w:rsidRPr="000E54A2" w:rsidRDefault="005008B4" w:rsidP="005C01B7">
            <w:pPr>
              <w:rPr>
                <w:b/>
                <w:sz w:val="24"/>
                <w:szCs w:val="24"/>
              </w:rPr>
            </w:pPr>
            <w:r w:rsidRPr="000E54A2">
              <w:rPr>
                <w:b/>
                <w:sz w:val="24"/>
                <w:szCs w:val="24"/>
              </w:rPr>
              <w:t>MJERE ZA POBOLJŠANJE ENERGETSKE EFIKASNOSTI U ZGRADAMA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5008B4" w:rsidRPr="000E54A2" w:rsidRDefault="005008B4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008B4" w:rsidRPr="000E54A2" w:rsidRDefault="005008B4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5008B4" w:rsidRPr="000E54A2" w:rsidRDefault="005008B4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5008B4" w:rsidRPr="000E54A2" w:rsidRDefault="005008B4" w:rsidP="005C01B7">
            <w:pPr>
              <w:rPr>
                <w:b/>
                <w:sz w:val="24"/>
                <w:szCs w:val="24"/>
              </w:rPr>
            </w:pPr>
          </w:p>
        </w:tc>
      </w:tr>
      <w:tr w:rsidR="00454A3B" w:rsidTr="00C91A00">
        <w:tc>
          <w:tcPr>
            <w:tcW w:w="675" w:type="dxa"/>
            <w:vAlign w:val="center"/>
          </w:tcPr>
          <w:p w:rsidR="005008B4" w:rsidRPr="00454A3B" w:rsidRDefault="005008B4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EE2.1</w:t>
            </w:r>
          </w:p>
        </w:tc>
        <w:tc>
          <w:tcPr>
            <w:tcW w:w="1429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Pregled unutrašnje rasvjete </w:t>
            </w:r>
          </w:p>
        </w:tc>
        <w:tc>
          <w:tcPr>
            <w:tcW w:w="1636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stanja u smislu efikasnosti svjetiljki i sijalica koje se koriste za unutrašnje osvjetljenje u zgradama preduzeća i ustanova čiji je osnivač opština</w:t>
            </w:r>
          </w:p>
        </w:tc>
        <w:tc>
          <w:tcPr>
            <w:tcW w:w="1450" w:type="dxa"/>
          </w:tcPr>
          <w:p w:rsidR="005008B4" w:rsidRPr="004E45C8" w:rsidRDefault="005008B4" w:rsidP="00D84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kvartal</w:t>
            </w:r>
          </w:p>
        </w:tc>
        <w:tc>
          <w:tcPr>
            <w:tcW w:w="1585" w:type="dxa"/>
            <w:vAlign w:val="center"/>
          </w:tcPr>
          <w:p w:rsidR="005008B4" w:rsidRDefault="005008B4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Nadležni Sekretarijat</w:t>
            </w:r>
          </w:p>
        </w:tc>
        <w:tc>
          <w:tcPr>
            <w:tcW w:w="1344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454A3B" w:rsidTr="00C91A00">
        <w:tc>
          <w:tcPr>
            <w:tcW w:w="675" w:type="dxa"/>
            <w:vAlign w:val="center"/>
          </w:tcPr>
          <w:p w:rsidR="005008B4" w:rsidRPr="00454A3B" w:rsidRDefault="005008B4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EE2.2</w:t>
            </w:r>
          </w:p>
        </w:tc>
        <w:tc>
          <w:tcPr>
            <w:tcW w:w="1429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sijalica</w:t>
            </w:r>
          </w:p>
        </w:tc>
        <w:tc>
          <w:tcPr>
            <w:tcW w:w="1636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oštećenih i dotrajalih sijalica i svjetiljki ugradnjom energetski efikasnijih u zgradama čiji je osnivač opština</w:t>
            </w:r>
          </w:p>
        </w:tc>
        <w:tc>
          <w:tcPr>
            <w:tcW w:w="1450" w:type="dxa"/>
            <w:vAlign w:val="center"/>
          </w:tcPr>
          <w:p w:rsidR="005008B4" w:rsidRDefault="005008B4" w:rsidP="002D2180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 xml:space="preserve">Zamjena oštećenjih i dotrajalih svjetiljki u </w:t>
            </w:r>
            <w:r>
              <w:rPr>
                <w:sz w:val="24"/>
                <w:szCs w:val="24"/>
              </w:rPr>
              <w:t>zgradama javnih preduzeća čiji je osnivač Opština</w:t>
            </w:r>
          </w:p>
        </w:tc>
        <w:tc>
          <w:tcPr>
            <w:tcW w:w="1167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Tokom cijele godine</w:t>
            </w:r>
          </w:p>
        </w:tc>
        <w:tc>
          <w:tcPr>
            <w:tcW w:w="1585" w:type="dxa"/>
            <w:vAlign w:val="center"/>
          </w:tcPr>
          <w:p w:rsidR="005008B4" w:rsidRDefault="005008B4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i nadležna preduzeća</w:t>
            </w:r>
          </w:p>
        </w:tc>
        <w:tc>
          <w:tcPr>
            <w:tcW w:w="1344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454A3B" w:rsidTr="00012608">
        <w:trPr>
          <w:trHeight w:val="1257"/>
        </w:trPr>
        <w:tc>
          <w:tcPr>
            <w:tcW w:w="675" w:type="dxa"/>
            <w:vAlign w:val="center"/>
          </w:tcPr>
          <w:p w:rsidR="005008B4" w:rsidRPr="00454A3B" w:rsidRDefault="005008B4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EE2.3</w:t>
            </w:r>
          </w:p>
        </w:tc>
        <w:tc>
          <w:tcPr>
            <w:tcW w:w="1429" w:type="dxa"/>
            <w:vAlign w:val="center"/>
          </w:tcPr>
          <w:p w:rsidR="005008B4" w:rsidRDefault="009B273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glavnog projekta za</w:t>
            </w:r>
            <w:r w:rsidR="005008B4">
              <w:rPr>
                <w:sz w:val="24"/>
                <w:szCs w:val="24"/>
              </w:rPr>
              <w:t xml:space="preserve"> postavljanje solarnih kolektora na objektu Sportske dvorane </w:t>
            </w:r>
            <w:r w:rsidR="005008B4">
              <w:rPr>
                <w:sz w:val="24"/>
                <w:szCs w:val="24"/>
              </w:rPr>
              <w:lastRenderedPageBreak/>
              <w:t>„Župa“</w:t>
            </w:r>
          </w:p>
        </w:tc>
        <w:tc>
          <w:tcPr>
            <w:tcW w:w="1636" w:type="dxa"/>
            <w:vAlign w:val="center"/>
          </w:tcPr>
          <w:p w:rsidR="005008B4" w:rsidRDefault="005008B4" w:rsidP="009B2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Izrada glavnog projekta </w:t>
            </w:r>
            <w:r w:rsidR="009B273F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postavljanje solarnih kolektora za grijanje tople i sanitarne vode za potrebe </w:t>
            </w:r>
            <w:r>
              <w:rPr>
                <w:sz w:val="24"/>
                <w:szCs w:val="24"/>
              </w:rPr>
              <w:lastRenderedPageBreak/>
              <w:t>Sportske dvorane „Župa“</w:t>
            </w:r>
          </w:p>
        </w:tc>
        <w:tc>
          <w:tcPr>
            <w:tcW w:w="1450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lastRenderedPageBreak/>
              <w:t xml:space="preserve">Ugradnja solarnog sistema za dobijanje tople sanitarne vode u sportskoj dvorani </w:t>
            </w:r>
            <w:r w:rsidRPr="002D2180">
              <w:rPr>
                <w:sz w:val="24"/>
                <w:szCs w:val="24"/>
              </w:rPr>
              <w:lastRenderedPageBreak/>
              <w:t>Župa</w:t>
            </w:r>
          </w:p>
        </w:tc>
        <w:tc>
          <w:tcPr>
            <w:tcW w:w="1167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 i IV kvartal</w:t>
            </w:r>
          </w:p>
        </w:tc>
        <w:tc>
          <w:tcPr>
            <w:tcW w:w="1585" w:type="dxa"/>
            <w:vAlign w:val="center"/>
          </w:tcPr>
          <w:p w:rsidR="005008B4" w:rsidRDefault="005641D0" w:rsidP="00DB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5008B4" w:rsidRDefault="00012608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</w:t>
            </w:r>
            <w:r w:rsidR="005008B4">
              <w:rPr>
                <w:sz w:val="24"/>
                <w:szCs w:val="24"/>
              </w:rPr>
              <w:t xml:space="preserve"> opštine</w:t>
            </w:r>
          </w:p>
        </w:tc>
      </w:tr>
      <w:tr w:rsidR="00454A3B" w:rsidTr="00012608">
        <w:trPr>
          <w:trHeight w:val="2631"/>
        </w:trPr>
        <w:tc>
          <w:tcPr>
            <w:tcW w:w="675" w:type="dxa"/>
            <w:vAlign w:val="center"/>
          </w:tcPr>
          <w:p w:rsidR="005008B4" w:rsidRPr="00454A3B" w:rsidRDefault="005008B4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lastRenderedPageBreak/>
              <w:t>EE2.4</w:t>
            </w:r>
          </w:p>
        </w:tc>
        <w:tc>
          <w:tcPr>
            <w:tcW w:w="1429" w:type="dxa"/>
            <w:vAlign w:val="center"/>
          </w:tcPr>
          <w:p w:rsidR="005008B4" w:rsidRDefault="005008B4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Projekat postavljanja fotonapo</w:t>
            </w:r>
            <w:r w:rsidR="00C91A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nskih ćelija na novoj zgradi opštine</w:t>
            </w:r>
          </w:p>
        </w:tc>
        <w:tc>
          <w:tcPr>
            <w:tcW w:w="1636" w:type="dxa"/>
            <w:vAlign w:val="center"/>
          </w:tcPr>
          <w:p w:rsidR="005008B4" w:rsidRDefault="009B273F" w:rsidP="0054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 projekta za</w:t>
            </w:r>
            <w:r w:rsidR="005008B4">
              <w:rPr>
                <w:sz w:val="24"/>
                <w:szCs w:val="24"/>
              </w:rPr>
              <w:t xml:space="preserve"> postavljanje fotonaponskih ćelija na novoj zgradi opštine</w:t>
            </w:r>
          </w:p>
        </w:tc>
        <w:tc>
          <w:tcPr>
            <w:tcW w:w="1450" w:type="dxa"/>
            <w:vAlign w:val="center"/>
          </w:tcPr>
          <w:p w:rsidR="005008B4" w:rsidRDefault="00226249" w:rsidP="0054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273F">
              <w:rPr>
                <w:sz w:val="24"/>
                <w:szCs w:val="24"/>
              </w:rPr>
              <w:t>rojekat</w:t>
            </w:r>
            <w:r w:rsidR="005008B4" w:rsidRPr="002D2180">
              <w:rPr>
                <w:sz w:val="24"/>
                <w:szCs w:val="24"/>
              </w:rPr>
              <w:t xml:space="preserve"> fotonapo</w:t>
            </w:r>
            <w:r w:rsidR="00C91A00">
              <w:rPr>
                <w:sz w:val="24"/>
                <w:szCs w:val="24"/>
              </w:rPr>
              <w:t xml:space="preserve"> -</w:t>
            </w:r>
            <w:r w:rsidR="005008B4" w:rsidRPr="002D2180">
              <w:rPr>
                <w:sz w:val="24"/>
                <w:szCs w:val="24"/>
              </w:rPr>
              <w:t>nskih ćelija na krovu nove zgrade Opštine</w:t>
            </w:r>
          </w:p>
        </w:tc>
        <w:tc>
          <w:tcPr>
            <w:tcW w:w="1167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kvartal</w:t>
            </w:r>
          </w:p>
        </w:tc>
        <w:tc>
          <w:tcPr>
            <w:tcW w:w="1585" w:type="dxa"/>
            <w:vAlign w:val="center"/>
          </w:tcPr>
          <w:p w:rsidR="005008B4" w:rsidRDefault="005008B4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5008B4" w:rsidRDefault="005008B4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B8196F" w:rsidTr="00012608">
        <w:trPr>
          <w:trHeight w:val="2396"/>
        </w:trPr>
        <w:tc>
          <w:tcPr>
            <w:tcW w:w="675" w:type="dxa"/>
            <w:vAlign w:val="center"/>
          </w:tcPr>
          <w:p w:rsidR="00B8196F" w:rsidRPr="00454A3B" w:rsidRDefault="00B8196F" w:rsidP="00B8196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EE 2.5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kotlovskog sistema u Centru za kulturu</w:t>
            </w:r>
          </w:p>
        </w:tc>
        <w:tc>
          <w:tcPr>
            <w:tcW w:w="1636" w:type="dxa"/>
            <w:vAlign w:val="center"/>
          </w:tcPr>
          <w:p w:rsidR="00B8196F" w:rsidRDefault="00B8196F" w:rsidP="0056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Modernizacija kotlovskog sistema i zamjena pojedinih modula novim sistemima</w:t>
            </w:r>
          </w:p>
        </w:tc>
        <w:tc>
          <w:tcPr>
            <w:tcW w:w="1450" w:type="dxa"/>
            <w:vAlign w:val="center"/>
          </w:tcPr>
          <w:p w:rsidR="00B8196F" w:rsidRDefault="00B8196F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kotlovskog sistema u Centru za kulturu</w:t>
            </w:r>
          </w:p>
        </w:tc>
        <w:tc>
          <w:tcPr>
            <w:tcW w:w="1167" w:type="dxa"/>
            <w:vAlign w:val="center"/>
          </w:tcPr>
          <w:p w:rsidR="00B8196F" w:rsidRDefault="00B8196F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kvartal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E97FA2" w:rsidTr="00012608">
        <w:trPr>
          <w:trHeight w:val="2481"/>
        </w:trPr>
        <w:tc>
          <w:tcPr>
            <w:tcW w:w="675" w:type="dxa"/>
            <w:vAlign w:val="center"/>
          </w:tcPr>
          <w:p w:rsidR="00E97FA2" w:rsidRDefault="00E97FA2" w:rsidP="00B8196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EE2.6</w:t>
            </w:r>
          </w:p>
        </w:tc>
        <w:tc>
          <w:tcPr>
            <w:tcW w:w="1429" w:type="dxa"/>
            <w:vAlign w:val="center"/>
          </w:tcPr>
          <w:p w:rsidR="00E97FA2" w:rsidRDefault="00E97FA2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dotrajale stolarije u zgradi komuna</w:t>
            </w:r>
            <w:r w:rsidR="0022624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lnog preduzeća</w:t>
            </w:r>
          </w:p>
        </w:tc>
        <w:tc>
          <w:tcPr>
            <w:tcW w:w="1636" w:type="dxa"/>
            <w:vAlign w:val="center"/>
          </w:tcPr>
          <w:p w:rsidR="00E97FA2" w:rsidRDefault="00E97FA2" w:rsidP="0056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Ugradnja novih prozora sa niskoemisi-onim staklima punjeni argonom</w:t>
            </w:r>
          </w:p>
        </w:tc>
        <w:tc>
          <w:tcPr>
            <w:tcW w:w="1450" w:type="dxa"/>
            <w:vAlign w:val="center"/>
          </w:tcPr>
          <w:p w:rsidR="00E97FA2" w:rsidRDefault="00E97FA2" w:rsidP="00B8196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97FA2" w:rsidRDefault="00E97FA2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Tokom cijele godine</w:t>
            </w:r>
          </w:p>
        </w:tc>
        <w:tc>
          <w:tcPr>
            <w:tcW w:w="1585" w:type="dxa"/>
            <w:vAlign w:val="center"/>
          </w:tcPr>
          <w:p w:rsidR="00E97FA2" w:rsidRDefault="00E97FA2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E97FA2" w:rsidRDefault="00E97FA2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javnih preduzeća</w:t>
            </w:r>
          </w:p>
        </w:tc>
      </w:tr>
      <w:tr w:rsidR="00226249" w:rsidTr="00C91A00">
        <w:tc>
          <w:tcPr>
            <w:tcW w:w="675" w:type="dxa"/>
            <w:vAlign w:val="center"/>
          </w:tcPr>
          <w:p w:rsidR="00226249" w:rsidRDefault="00226249" w:rsidP="00B8196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EE2.7</w:t>
            </w:r>
          </w:p>
        </w:tc>
        <w:tc>
          <w:tcPr>
            <w:tcW w:w="1429" w:type="dxa"/>
            <w:vAlign w:val="center"/>
          </w:tcPr>
          <w:p w:rsidR="00226249" w:rsidRDefault="00226249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detaljnog energetskog pregleda zgrade Centra za kulturu</w:t>
            </w:r>
          </w:p>
        </w:tc>
        <w:tc>
          <w:tcPr>
            <w:tcW w:w="1636" w:type="dxa"/>
            <w:vAlign w:val="center"/>
          </w:tcPr>
          <w:p w:rsidR="00226249" w:rsidRDefault="00226249" w:rsidP="0056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Izradom detaljnog energetskog pregleda dobiće se osnova za modernizaciju </w:t>
            </w:r>
          </w:p>
        </w:tc>
        <w:tc>
          <w:tcPr>
            <w:tcW w:w="1450" w:type="dxa"/>
            <w:vAlign w:val="center"/>
          </w:tcPr>
          <w:p w:rsidR="00226249" w:rsidRDefault="00226249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Detaljni energetski pregledi zgrada</w:t>
            </w:r>
          </w:p>
        </w:tc>
        <w:tc>
          <w:tcPr>
            <w:tcW w:w="1167" w:type="dxa"/>
            <w:vAlign w:val="center"/>
          </w:tcPr>
          <w:p w:rsidR="00226249" w:rsidRDefault="00226249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kvartal</w:t>
            </w:r>
          </w:p>
        </w:tc>
        <w:tc>
          <w:tcPr>
            <w:tcW w:w="1585" w:type="dxa"/>
            <w:vAlign w:val="center"/>
          </w:tcPr>
          <w:p w:rsidR="00226249" w:rsidRDefault="00226249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226249" w:rsidRDefault="00226249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B8196F" w:rsidRPr="00755333" w:rsidTr="00C91A0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8196F" w:rsidRPr="00454A3B" w:rsidRDefault="00B8196F" w:rsidP="005C01B7">
            <w:pPr>
              <w:rPr>
                <w:b/>
                <w:sz w:val="18"/>
                <w:szCs w:val="24"/>
              </w:rPr>
            </w:pPr>
            <w:r w:rsidRPr="00454A3B">
              <w:rPr>
                <w:b/>
                <w:sz w:val="18"/>
                <w:szCs w:val="24"/>
              </w:rPr>
              <w:lastRenderedPageBreak/>
              <w:t>EE 3</w:t>
            </w:r>
          </w:p>
        </w:tc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:rsidR="00B8196F" w:rsidRPr="00755333" w:rsidRDefault="00B8196F" w:rsidP="00FD63EA">
            <w:pPr>
              <w:rPr>
                <w:b/>
                <w:sz w:val="24"/>
                <w:szCs w:val="24"/>
              </w:rPr>
            </w:pPr>
            <w:r w:rsidRPr="00755333">
              <w:rPr>
                <w:b/>
                <w:sz w:val="24"/>
                <w:szCs w:val="24"/>
              </w:rPr>
              <w:t>EFIKASNOST U JAVNOJ RASVJETI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D84AB8">
            <w:pPr>
              <w:rPr>
                <w:b/>
                <w:sz w:val="24"/>
                <w:szCs w:val="24"/>
              </w:rPr>
            </w:pPr>
          </w:p>
        </w:tc>
      </w:tr>
      <w:tr w:rsidR="00B8196F" w:rsidTr="00C91A00">
        <w:tc>
          <w:tcPr>
            <w:tcW w:w="675" w:type="dxa"/>
            <w:vAlign w:val="center"/>
          </w:tcPr>
          <w:p w:rsidR="00B8196F" w:rsidRPr="00454A3B" w:rsidRDefault="00B8196F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EE3.1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geografskog informaci -onog sistema (GIS) javne rasvjete</w:t>
            </w:r>
          </w:p>
        </w:tc>
        <w:tc>
          <w:tcPr>
            <w:tcW w:w="1636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Ovom mjerom bi se osigurala cjelovita baza podataka za monitoring kao i izradu budućih studija, odnosno pripremu projekata koji bi trebali biti podloga osiguravanja finansijskih sredstava kod domaćih i EU fondova</w:t>
            </w:r>
          </w:p>
          <w:p w:rsidR="00B8196F" w:rsidRDefault="00B8196F" w:rsidP="00FD63E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geografskog informaci -onog sistema (GIS) javne rasvjete</w:t>
            </w:r>
          </w:p>
        </w:tc>
        <w:tc>
          <w:tcPr>
            <w:tcW w:w="1167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kvartal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-Nadležni Sekretarijat</w:t>
            </w:r>
          </w:p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-Firma koja dobije na tenderu</w:t>
            </w:r>
          </w:p>
        </w:tc>
        <w:tc>
          <w:tcPr>
            <w:tcW w:w="1344" w:type="dxa"/>
            <w:vAlign w:val="center"/>
          </w:tcPr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Raspisiva-nje tendera se očekuje do kraja mjeseca marta</w:t>
            </w:r>
          </w:p>
        </w:tc>
      </w:tr>
      <w:tr w:rsidR="00226249" w:rsidTr="00C91A00">
        <w:tc>
          <w:tcPr>
            <w:tcW w:w="675" w:type="dxa"/>
            <w:vAlign w:val="center"/>
          </w:tcPr>
          <w:p w:rsidR="00226249" w:rsidRPr="00454A3B" w:rsidRDefault="00226249" w:rsidP="005C01B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EE3.2</w:t>
            </w:r>
          </w:p>
        </w:tc>
        <w:tc>
          <w:tcPr>
            <w:tcW w:w="1429" w:type="dxa"/>
            <w:vAlign w:val="center"/>
          </w:tcPr>
          <w:p w:rsidR="00226249" w:rsidRDefault="00226249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tehničke dokumentacije postojećeg stanja dijela javne rasvjete u centru grada</w:t>
            </w:r>
          </w:p>
        </w:tc>
        <w:tc>
          <w:tcPr>
            <w:tcW w:w="1636" w:type="dxa"/>
            <w:vAlign w:val="center"/>
          </w:tcPr>
          <w:p w:rsidR="00226249" w:rsidRDefault="00226249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Energetska efikasnost prelaska na LED svjetiljke</w:t>
            </w:r>
            <w:r w:rsidR="0002195B">
              <w:rPr>
                <w:sz w:val="24"/>
                <w:szCs w:val="24"/>
              </w:rPr>
              <w:t xml:space="preserve"> podrazumjeva zamjenu svjetiljki i sijalica</w:t>
            </w:r>
          </w:p>
        </w:tc>
        <w:tc>
          <w:tcPr>
            <w:tcW w:w="1450" w:type="dxa"/>
            <w:vAlign w:val="center"/>
          </w:tcPr>
          <w:p w:rsidR="00226249" w:rsidRDefault="00226249" w:rsidP="005C01B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26249" w:rsidRDefault="0002195B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kvartal </w:t>
            </w:r>
          </w:p>
        </w:tc>
        <w:tc>
          <w:tcPr>
            <w:tcW w:w="1585" w:type="dxa"/>
            <w:vAlign w:val="center"/>
          </w:tcPr>
          <w:p w:rsidR="00226249" w:rsidRDefault="0002195B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226249" w:rsidRDefault="0002195B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B8196F" w:rsidTr="003E0EC3">
        <w:trPr>
          <w:trHeight w:val="5306"/>
        </w:trPr>
        <w:tc>
          <w:tcPr>
            <w:tcW w:w="675" w:type="dxa"/>
            <w:vAlign w:val="center"/>
          </w:tcPr>
          <w:p w:rsidR="00B8196F" w:rsidRPr="00454A3B" w:rsidRDefault="00B8196F" w:rsidP="0002195B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lastRenderedPageBreak/>
              <w:t>EE3.</w:t>
            </w:r>
            <w:r w:rsidR="0002195B">
              <w:rPr>
                <w:sz w:val="18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Moderniza-cija (na postojećoj mreži: zamjena starih neefikasnih svijetiljki novim, a na proširenji-ma mreže ugradnja novih EE svjetiljki i sijalica)</w:t>
            </w:r>
          </w:p>
        </w:tc>
        <w:tc>
          <w:tcPr>
            <w:tcW w:w="1636" w:type="dxa"/>
            <w:vAlign w:val="center"/>
          </w:tcPr>
          <w:p w:rsidR="00B8196F" w:rsidRDefault="00B8196F" w:rsidP="004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Ovom mjerom bi se postiglo smanjenje el. energije, smanjili troškovi održavanja, ali i povećao komfor i estetski izgled grada (osvjetljenost)</w:t>
            </w:r>
          </w:p>
        </w:tc>
        <w:tc>
          <w:tcPr>
            <w:tcW w:w="1450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Moderniza</w:t>
            </w:r>
            <w:r>
              <w:rPr>
                <w:sz w:val="24"/>
                <w:szCs w:val="24"/>
              </w:rPr>
              <w:t>-</w:t>
            </w:r>
            <w:r w:rsidRPr="002D2180">
              <w:rPr>
                <w:sz w:val="24"/>
                <w:szCs w:val="24"/>
              </w:rPr>
              <w:t>cija (na postojećoj mreži: zamjen starih i neefikasnih svijetiljki novim a na proširenjima mreže ugradnja novih energetski efik</w:t>
            </w:r>
            <w:r>
              <w:rPr>
                <w:sz w:val="24"/>
                <w:szCs w:val="24"/>
              </w:rPr>
              <w:t>asnih svjetiljki i sijalica, …)</w:t>
            </w:r>
          </w:p>
        </w:tc>
        <w:tc>
          <w:tcPr>
            <w:tcW w:w="1167" w:type="dxa"/>
            <w:vAlign w:val="center"/>
          </w:tcPr>
          <w:p w:rsidR="00B8196F" w:rsidRDefault="00B8196F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Tokom cijele godine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B8196F" w:rsidRDefault="00B8196F" w:rsidP="0001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 </w:t>
            </w:r>
            <w:r w:rsidR="00012608">
              <w:rPr>
                <w:sz w:val="24"/>
                <w:szCs w:val="24"/>
              </w:rPr>
              <w:t>javnih preduzeća/ budžet opštine</w:t>
            </w:r>
          </w:p>
        </w:tc>
      </w:tr>
      <w:tr w:rsidR="00B8196F" w:rsidRPr="00755333" w:rsidTr="00C91A0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8196F" w:rsidRPr="00454A3B" w:rsidRDefault="00B8196F" w:rsidP="005C01B7">
            <w:pPr>
              <w:rPr>
                <w:b/>
                <w:sz w:val="18"/>
                <w:szCs w:val="24"/>
              </w:rPr>
            </w:pPr>
            <w:r w:rsidRPr="00454A3B">
              <w:rPr>
                <w:b/>
                <w:sz w:val="18"/>
                <w:szCs w:val="24"/>
              </w:rPr>
              <w:t>EE 4</w:t>
            </w:r>
          </w:p>
        </w:tc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:rsidR="00B8196F" w:rsidRPr="00755333" w:rsidRDefault="00B8196F" w:rsidP="0048649E">
            <w:pPr>
              <w:rPr>
                <w:b/>
                <w:sz w:val="24"/>
                <w:szCs w:val="24"/>
              </w:rPr>
            </w:pPr>
            <w:r w:rsidRPr="00755333">
              <w:rPr>
                <w:b/>
                <w:sz w:val="24"/>
                <w:szCs w:val="24"/>
              </w:rPr>
              <w:t>MJERE ENERGETSKE EFIKASNOSTI PREMA GRAĐANIMA I LOKALNIM preduzećima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D84AB8">
            <w:pPr>
              <w:rPr>
                <w:b/>
                <w:sz w:val="24"/>
                <w:szCs w:val="24"/>
              </w:rPr>
            </w:pPr>
          </w:p>
        </w:tc>
      </w:tr>
      <w:tr w:rsidR="00B8196F" w:rsidTr="00012608">
        <w:trPr>
          <w:trHeight w:val="2816"/>
        </w:trPr>
        <w:tc>
          <w:tcPr>
            <w:tcW w:w="675" w:type="dxa"/>
            <w:vAlign w:val="center"/>
          </w:tcPr>
          <w:p w:rsidR="00B8196F" w:rsidRPr="00454A3B" w:rsidRDefault="00B8196F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Ee4.1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Informati-vna kampanja, edukacija</w:t>
            </w:r>
          </w:p>
        </w:tc>
        <w:tc>
          <w:tcPr>
            <w:tcW w:w="1636" w:type="dxa"/>
            <w:vAlign w:val="center"/>
          </w:tcPr>
          <w:p w:rsidR="00B8196F" w:rsidRDefault="00B8196F" w:rsidP="004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Podizanje svijesti o mogućnosti-ma uštede energije u domaćinstvi-ma (termoizolaci-one fasade, bravarija, solarno zagrijavanje, EE uređaji, podjela LED sijalica)</w:t>
            </w:r>
          </w:p>
          <w:p w:rsidR="00B8196F" w:rsidRDefault="00B8196F" w:rsidP="004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Podrška učenicima i profesorima srednje škole u implementa-ciji inovativnih rešenja u smislu EE</w:t>
            </w:r>
          </w:p>
        </w:tc>
        <w:tc>
          <w:tcPr>
            <w:tcW w:w="1450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lastRenderedPageBreak/>
              <w:t>Podizanje svjesti o mogućno</w:t>
            </w:r>
            <w:r>
              <w:rPr>
                <w:sz w:val="24"/>
                <w:szCs w:val="24"/>
              </w:rPr>
              <w:t xml:space="preserve"> -</w:t>
            </w:r>
            <w:r w:rsidRPr="002D2180">
              <w:rPr>
                <w:sz w:val="24"/>
                <w:szCs w:val="24"/>
              </w:rPr>
              <w:t>stima uštede energije u domaći</w:t>
            </w:r>
            <w:r>
              <w:rPr>
                <w:sz w:val="24"/>
                <w:szCs w:val="24"/>
              </w:rPr>
              <w:t xml:space="preserve"> -</w:t>
            </w:r>
            <w:r w:rsidRPr="002D2180">
              <w:rPr>
                <w:sz w:val="24"/>
                <w:szCs w:val="24"/>
              </w:rPr>
              <w:t xml:space="preserve">nstvima (termoizolacione fasade, bravarija, solarno zagrijavanje, energetski efikasni </w:t>
            </w:r>
            <w:r w:rsidRPr="002D2180">
              <w:rPr>
                <w:sz w:val="24"/>
                <w:szCs w:val="24"/>
              </w:rPr>
              <w:lastRenderedPageBreak/>
              <w:t>uređaji)</w:t>
            </w:r>
          </w:p>
        </w:tc>
        <w:tc>
          <w:tcPr>
            <w:tcW w:w="1167" w:type="dxa"/>
            <w:vAlign w:val="center"/>
          </w:tcPr>
          <w:p w:rsidR="00B8196F" w:rsidRDefault="00B8196F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Tokom cijele godine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Nadležni sekretarijat</w:t>
            </w:r>
          </w:p>
        </w:tc>
        <w:tc>
          <w:tcPr>
            <w:tcW w:w="1344" w:type="dxa"/>
            <w:vAlign w:val="center"/>
          </w:tcPr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B8196F" w:rsidTr="00012608">
        <w:trPr>
          <w:trHeight w:val="5370"/>
        </w:trPr>
        <w:tc>
          <w:tcPr>
            <w:tcW w:w="675" w:type="dxa"/>
            <w:vAlign w:val="center"/>
          </w:tcPr>
          <w:p w:rsidR="00B8196F" w:rsidRPr="00454A3B" w:rsidRDefault="00B8196F" w:rsidP="00D84AB8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lastRenderedPageBreak/>
              <w:t>EE4.2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Promovisa</w:t>
            </w:r>
            <w:r w:rsidR="000219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nje upotrebe alternati</w:t>
            </w:r>
            <w:r w:rsidR="0002195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vnih prevoznih sredstava</w:t>
            </w:r>
          </w:p>
        </w:tc>
        <w:tc>
          <w:tcPr>
            <w:tcW w:w="1636" w:type="dxa"/>
            <w:vAlign w:val="center"/>
          </w:tcPr>
          <w:p w:rsidR="00B8196F" w:rsidRDefault="00B8196F" w:rsidP="004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Zaposleni u opštini Tivat i javnim preduzećima čiji je osnivač opština sopstvenim ponašanjem da utiču na podizanje opšte svijesti o:</w:t>
            </w:r>
          </w:p>
          <w:p w:rsidR="00B8196F" w:rsidRPr="00F64669" w:rsidRDefault="00B8196F" w:rsidP="00F64669">
            <w:pPr>
              <w:pStyle w:val="ListParagraph"/>
              <w:numPr>
                <w:ilvl w:val="0"/>
                <w:numId w:val="8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Značaj„čistijih“ modaliteta prevoza, kao što je javni prevoz, šetnja, biciklizam i sl.</w:t>
            </w:r>
          </w:p>
        </w:tc>
        <w:tc>
          <w:tcPr>
            <w:tcW w:w="1450" w:type="dxa"/>
            <w:vAlign w:val="center"/>
          </w:tcPr>
          <w:p w:rsidR="00B8196F" w:rsidRPr="002D2180" w:rsidRDefault="00B8196F" w:rsidP="002D2180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Informati</w:t>
            </w:r>
            <w:r>
              <w:rPr>
                <w:sz w:val="24"/>
                <w:szCs w:val="24"/>
              </w:rPr>
              <w:t>-</w:t>
            </w:r>
            <w:r w:rsidRPr="002D2180">
              <w:rPr>
                <w:sz w:val="24"/>
                <w:szCs w:val="24"/>
              </w:rPr>
              <w:t>vna kampanja</w:t>
            </w:r>
          </w:p>
          <w:p w:rsidR="00B8196F" w:rsidRPr="002D2180" w:rsidRDefault="00B8196F" w:rsidP="002D2180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o EE ponašanju u</w:t>
            </w:r>
          </w:p>
          <w:p w:rsidR="00B8196F" w:rsidRPr="002D2180" w:rsidRDefault="00B8196F" w:rsidP="002D2180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saobracaju i demonstra</w:t>
            </w:r>
            <w:r>
              <w:rPr>
                <w:sz w:val="24"/>
                <w:szCs w:val="24"/>
              </w:rPr>
              <w:t>-</w:t>
            </w:r>
            <w:r w:rsidRPr="002D2180">
              <w:rPr>
                <w:sz w:val="24"/>
                <w:szCs w:val="24"/>
              </w:rPr>
              <w:t>tivne</w:t>
            </w:r>
          </w:p>
          <w:p w:rsidR="00B8196F" w:rsidRDefault="00B8196F" w:rsidP="002D2180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(pilot) aktivnosti</w:t>
            </w:r>
          </w:p>
        </w:tc>
        <w:tc>
          <w:tcPr>
            <w:tcW w:w="1167" w:type="dxa"/>
            <w:vAlign w:val="center"/>
          </w:tcPr>
          <w:p w:rsidR="00B8196F" w:rsidRDefault="00B8196F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Tokom cijele godine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Zaposleni u opštini Tivat i javnim preduzećima čiji je osnivač opština</w:t>
            </w:r>
          </w:p>
        </w:tc>
        <w:tc>
          <w:tcPr>
            <w:tcW w:w="1344" w:type="dxa"/>
            <w:vAlign w:val="center"/>
          </w:tcPr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B8196F" w:rsidTr="00012608">
        <w:trPr>
          <w:trHeight w:val="3950"/>
        </w:trPr>
        <w:tc>
          <w:tcPr>
            <w:tcW w:w="675" w:type="dxa"/>
            <w:vAlign w:val="center"/>
          </w:tcPr>
          <w:p w:rsidR="00B8196F" w:rsidRPr="00454A3B" w:rsidRDefault="00B8196F" w:rsidP="00D84AB8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lastRenderedPageBreak/>
              <w:t>EE4.3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Inicijativa za saradnju sa lokalnim bankama</w:t>
            </w:r>
          </w:p>
        </w:tc>
        <w:tc>
          <w:tcPr>
            <w:tcW w:w="1636" w:type="dxa"/>
            <w:vAlign w:val="center"/>
          </w:tcPr>
          <w:p w:rsidR="00B8196F" w:rsidRDefault="00B8196F" w:rsidP="004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Inicijativa bankama i saradnja u smislu ponude građanima povoljnih kredita za realizaciju projekata usmjerenih na EE u domaćinstvi</w:t>
            </w:r>
            <w:r w:rsidR="000126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1450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Povećanje EE objekata u vlasništvu građana opštine Tivat</w:t>
            </w:r>
          </w:p>
        </w:tc>
        <w:tc>
          <w:tcPr>
            <w:tcW w:w="1167" w:type="dxa"/>
            <w:vAlign w:val="center"/>
          </w:tcPr>
          <w:p w:rsidR="00B8196F" w:rsidRDefault="00B8196F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Kvartal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Nadležni sekretarijat</w:t>
            </w:r>
          </w:p>
        </w:tc>
        <w:tc>
          <w:tcPr>
            <w:tcW w:w="1344" w:type="dxa"/>
            <w:vAlign w:val="center"/>
          </w:tcPr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B8196F" w:rsidTr="00012608">
        <w:trPr>
          <w:trHeight w:val="64"/>
        </w:trPr>
        <w:tc>
          <w:tcPr>
            <w:tcW w:w="675" w:type="dxa"/>
            <w:vAlign w:val="center"/>
          </w:tcPr>
          <w:p w:rsidR="00B8196F" w:rsidRPr="00454A3B" w:rsidRDefault="00B8196F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EE4.4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Tivat solarni krovovi – finansijski podsticaj za korišćenje solarnih sistema u domaći -nstvima</w:t>
            </w:r>
          </w:p>
        </w:tc>
        <w:tc>
          <w:tcPr>
            <w:tcW w:w="1636" w:type="dxa"/>
            <w:vAlign w:val="center"/>
          </w:tcPr>
          <w:p w:rsidR="00B8196F" w:rsidRDefault="00B8196F" w:rsidP="0054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Razmotriti mogućnost unapredjenja benefita shodno Odluci o naknadi za komunalno opremanje gradjevinskog zemljišta</w:t>
            </w:r>
          </w:p>
        </w:tc>
        <w:tc>
          <w:tcPr>
            <w:tcW w:w="1450" w:type="dxa"/>
            <w:vAlign w:val="center"/>
          </w:tcPr>
          <w:p w:rsidR="00B8196F" w:rsidRPr="00012608" w:rsidRDefault="00B8196F" w:rsidP="00012608">
            <w:pPr>
              <w:rPr>
                <w:sz w:val="23"/>
                <w:szCs w:val="23"/>
              </w:rPr>
            </w:pPr>
            <w:r w:rsidRPr="00012608">
              <w:rPr>
                <w:sz w:val="23"/>
                <w:szCs w:val="23"/>
              </w:rPr>
              <w:t xml:space="preserve">Tivat solarni krovovi – finansijski podsticaj za korištenje solarnih sistema u domaći -nstvima i to na način što bi se Odlukom o komunalnim taksama umanjivao njihov iznos na račun ugradnje solarnih kolektora, kao što je to urađeno u Podgorici </w:t>
            </w:r>
            <w:r w:rsidR="00012608" w:rsidRPr="00012608">
              <w:rPr>
                <w:sz w:val="23"/>
                <w:szCs w:val="23"/>
              </w:rPr>
              <w:t>i</w:t>
            </w:r>
            <w:r w:rsidRPr="00012608">
              <w:rPr>
                <w:sz w:val="23"/>
                <w:szCs w:val="23"/>
              </w:rPr>
              <w:t xml:space="preserve"> Budvi</w:t>
            </w:r>
          </w:p>
        </w:tc>
        <w:tc>
          <w:tcPr>
            <w:tcW w:w="1167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kvartal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Opština Tivat</w:t>
            </w:r>
          </w:p>
        </w:tc>
        <w:tc>
          <w:tcPr>
            <w:tcW w:w="1344" w:type="dxa"/>
            <w:vAlign w:val="center"/>
          </w:tcPr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opštine</w:t>
            </w:r>
          </w:p>
        </w:tc>
      </w:tr>
      <w:tr w:rsidR="00B8196F" w:rsidRPr="00755333" w:rsidTr="00C91A0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8196F" w:rsidRPr="00454A3B" w:rsidRDefault="00B8196F" w:rsidP="005C01B7">
            <w:pPr>
              <w:rPr>
                <w:b/>
                <w:sz w:val="18"/>
                <w:szCs w:val="24"/>
              </w:rPr>
            </w:pPr>
            <w:r w:rsidRPr="00454A3B">
              <w:rPr>
                <w:b/>
                <w:sz w:val="18"/>
                <w:szCs w:val="24"/>
              </w:rPr>
              <w:lastRenderedPageBreak/>
              <w:t>EE 5</w:t>
            </w:r>
          </w:p>
        </w:tc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:rsidR="00B8196F" w:rsidRPr="00755333" w:rsidRDefault="00B8196F" w:rsidP="0048649E">
            <w:pPr>
              <w:rPr>
                <w:b/>
                <w:sz w:val="24"/>
                <w:szCs w:val="24"/>
              </w:rPr>
            </w:pPr>
            <w:r w:rsidRPr="00755333">
              <w:rPr>
                <w:b/>
                <w:sz w:val="24"/>
                <w:szCs w:val="24"/>
              </w:rPr>
              <w:t>MJERE ENERGETSKE EFIKASNOSTI SISTEMA VODOSNABDIJEVANJA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5C01B7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B8196F" w:rsidRPr="00755333" w:rsidRDefault="00B8196F" w:rsidP="00D84AB8">
            <w:pPr>
              <w:rPr>
                <w:b/>
                <w:sz w:val="24"/>
                <w:szCs w:val="24"/>
              </w:rPr>
            </w:pPr>
          </w:p>
        </w:tc>
      </w:tr>
      <w:tr w:rsidR="00B8196F" w:rsidTr="00C91A00">
        <w:tc>
          <w:tcPr>
            <w:tcW w:w="675" w:type="dxa"/>
            <w:vAlign w:val="center"/>
          </w:tcPr>
          <w:p w:rsidR="00B8196F" w:rsidRPr="00454A3B" w:rsidRDefault="00B8196F" w:rsidP="005C01B7">
            <w:pPr>
              <w:rPr>
                <w:sz w:val="18"/>
                <w:szCs w:val="24"/>
              </w:rPr>
            </w:pPr>
            <w:r w:rsidRPr="00454A3B">
              <w:rPr>
                <w:sz w:val="18"/>
                <w:szCs w:val="24"/>
              </w:rPr>
              <w:t>EE5.1</w:t>
            </w:r>
          </w:p>
        </w:tc>
        <w:tc>
          <w:tcPr>
            <w:tcW w:w="1429" w:type="dxa"/>
            <w:vAlign w:val="center"/>
          </w:tcPr>
          <w:p w:rsidR="00B8196F" w:rsidRDefault="00B8196F" w:rsidP="00FD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Modernizacija sistema vodosna -bdijevanja i sistema otpadnih voda</w:t>
            </w:r>
          </w:p>
        </w:tc>
        <w:tc>
          <w:tcPr>
            <w:tcW w:w="1636" w:type="dxa"/>
            <w:vAlign w:val="center"/>
          </w:tcPr>
          <w:p w:rsidR="00B8196F" w:rsidRDefault="00B8196F" w:rsidP="004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starih i neefikasnih motornih pumpi, ugradnja savremenog sistema mjerenja protoka vode, izrada SCADA sistema</w:t>
            </w:r>
          </w:p>
        </w:tc>
        <w:tc>
          <w:tcPr>
            <w:tcW w:w="1450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 w:rsidRPr="002D2180">
              <w:rPr>
                <w:sz w:val="24"/>
                <w:szCs w:val="24"/>
              </w:rPr>
              <w:t>Uvođenje SCADA (Supervisory Control And Data Acquisition) sistema</w:t>
            </w:r>
          </w:p>
        </w:tc>
        <w:tc>
          <w:tcPr>
            <w:tcW w:w="1167" w:type="dxa"/>
            <w:vAlign w:val="center"/>
          </w:tcPr>
          <w:p w:rsidR="00B8196F" w:rsidRDefault="00B8196F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Tokom cijele godine</w:t>
            </w:r>
          </w:p>
        </w:tc>
        <w:tc>
          <w:tcPr>
            <w:tcW w:w="1585" w:type="dxa"/>
            <w:vAlign w:val="center"/>
          </w:tcPr>
          <w:p w:rsidR="00B8196F" w:rsidRDefault="00B8196F" w:rsidP="005C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Vodovod</w:t>
            </w:r>
          </w:p>
        </w:tc>
        <w:tc>
          <w:tcPr>
            <w:tcW w:w="1344" w:type="dxa"/>
            <w:vAlign w:val="center"/>
          </w:tcPr>
          <w:p w:rsidR="00B8196F" w:rsidRDefault="00B8196F" w:rsidP="00D8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Tenderi/EU fondovi</w:t>
            </w:r>
          </w:p>
        </w:tc>
      </w:tr>
    </w:tbl>
    <w:p w:rsidR="00F64669" w:rsidRDefault="00F64669" w:rsidP="00A36E0F">
      <w:pPr>
        <w:jc w:val="both"/>
        <w:rPr>
          <w:sz w:val="24"/>
          <w:szCs w:val="24"/>
        </w:rPr>
      </w:pPr>
    </w:p>
    <w:p w:rsidR="00F64669" w:rsidRDefault="00F646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0EBE" w:rsidRDefault="00EC0EBE" w:rsidP="00A36E0F">
      <w:pPr>
        <w:jc w:val="both"/>
        <w:rPr>
          <w:sz w:val="24"/>
          <w:szCs w:val="24"/>
        </w:rPr>
        <w:sectPr w:rsidR="00EC0EBE" w:rsidSect="00770E4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C01B7" w:rsidRDefault="00EC0EBE" w:rsidP="00EC0E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0EBE">
        <w:rPr>
          <w:b/>
          <w:sz w:val="24"/>
          <w:szCs w:val="24"/>
        </w:rPr>
        <w:lastRenderedPageBreak/>
        <w:t>PROCJENJENI TROŠKOVI GODIŠNJEG PLANA POBOLJŠANJA ENERGETSKE EFIKASNOSTI I OČEKIVANE UŠTEDE</w:t>
      </w:r>
    </w:p>
    <w:p w:rsidR="00E036C0" w:rsidRPr="00E036C0" w:rsidRDefault="00E036C0" w:rsidP="00E036C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4.1. Procjenjeni troškovi za realizaciju Plana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3841"/>
        <w:gridCol w:w="2571"/>
        <w:gridCol w:w="2354"/>
      </w:tblGrid>
      <w:tr w:rsidR="00F27EBA" w:rsidTr="00012608">
        <w:trPr>
          <w:jc w:val="center"/>
        </w:trPr>
        <w:tc>
          <w:tcPr>
            <w:tcW w:w="520" w:type="dxa"/>
          </w:tcPr>
          <w:p w:rsidR="00F27EBA" w:rsidRDefault="00F27EBA" w:rsidP="00B819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3841" w:type="dxa"/>
          </w:tcPr>
          <w:p w:rsidR="00F27EBA" w:rsidRDefault="00F27EBA" w:rsidP="00B819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Mjera poboljšanja energetske efikasnosti (ili grupa mjera)</w:t>
            </w:r>
          </w:p>
        </w:tc>
        <w:tc>
          <w:tcPr>
            <w:tcW w:w="2571" w:type="dxa"/>
          </w:tcPr>
          <w:p w:rsidR="00F27EBA" w:rsidRDefault="00F27EBA" w:rsidP="00B819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Procijenjeni investicioni troškovi (</w:t>
            </w: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54" w:type="dxa"/>
          </w:tcPr>
          <w:p w:rsidR="00F27EBA" w:rsidRDefault="00F27EBA" w:rsidP="00B819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Očekivane uštede energije u pogledu troškova (</w:t>
            </w:r>
            <w:r>
              <w:rPr>
                <w:rFonts w:cstheme="minorHAnsi"/>
                <w:b/>
                <w:sz w:val="24"/>
                <w:szCs w:val="24"/>
              </w:rPr>
              <w:t>€/god)</w:t>
            </w:r>
          </w:p>
        </w:tc>
      </w:tr>
      <w:tr w:rsidR="00F27EBA" w:rsidRPr="00C87EA3" w:rsidTr="00012608">
        <w:trPr>
          <w:jc w:val="center"/>
        </w:trPr>
        <w:tc>
          <w:tcPr>
            <w:tcW w:w="520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1.</w:t>
            </w:r>
          </w:p>
        </w:tc>
        <w:tc>
          <w:tcPr>
            <w:tcW w:w="3841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Grupa mjera EE1</w:t>
            </w:r>
          </w:p>
        </w:tc>
        <w:tc>
          <w:tcPr>
            <w:tcW w:w="2571" w:type="dxa"/>
            <w:vAlign w:val="center"/>
          </w:tcPr>
          <w:p w:rsidR="00F27EBA" w:rsidRPr="00F43A1D" w:rsidRDefault="00F27EBA" w:rsidP="00B8196F">
            <w:pPr>
              <w:rPr>
                <w:sz w:val="24"/>
                <w:szCs w:val="24"/>
              </w:rPr>
            </w:pPr>
            <w:r w:rsidRPr="00F43A1D">
              <w:rPr>
                <w:sz w:val="24"/>
                <w:szCs w:val="24"/>
              </w:rPr>
              <w:t>20 000,00</w:t>
            </w:r>
          </w:p>
        </w:tc>
        <w:tc>
          <w:tcPr>
            <w:tcW w:w="2354" w:type="dxa"/>
          </w:tcPr>
          <w:p w:rsidR="00F27EBA" w:rsidRDefault="00F27EBA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EBA" w:rsidRPr="00C87EA3" w:rsidTr="00012608">
        <w:trPr>
          <w:jc w:val="center"/>
        </w:trPr>
        <w:tc>
          <w:tcPr>
            <w:tcW w:w="520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2.</w:t>
            </w:r>
          </w:p>
        </w:tc>
        <w:tc>
          <w:tcPr>
            <w:tcW w:w="3841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Grupa mjera EE2</w:t>
            </w:r>
          </w:p>
        </w:tc>
        <w:tc>
          <w:tcPr>
            <w:tcW w:w="2571" w:type="dxa"/>
            <w:vAlign w:val="center"/>
          </w:tcPr>
          <w:p w:rsidR="00F27EBA" w:rsidRPr="00C87EA3" w:rsidRDefault="00FA1A23" w:rsidP="00FA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62 7</w:t>
            </w:r>
            <w:r w:rsidR="00754E36">
              <w:rPr>
                <w:sz w:val="24"/>
                <w:szCs w:val="24"/>
              </w:rPr>
              <w:t>00</w:t>
            </w:r>
            <w:r w:rsidR="0008176B">
              <w:rPr>
                <w:sz w:val="24"/>
                <w:szCs w:val="24"/>
              </w:rPr>
              <w:t>,00</w:t>
            </w:r>
          </w:p>
        </w:tc>
        <w:tc>
          <w:tcPr>
            <w:tcW w:w="2354" w:type="dxa"/>
          </w:tcPr>
          <w:p w:rsidR="00F27EBA" w:rsidRPr="00C87EA3" w:rsidRDefault="00226249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7EBA">
              <w:rPr>
                <w:sz w:val="24"/>
                <w:szCs w:val="24"/>
              </w:rPr>
              <w:t xml:space="preserve"> 000,00</w:t>
            </w:r>
          </w:p>
        </w:tc>
      </w:tr>
      <w:tr w:rsidR="00F27EBA" w:rsidRPr="00C87EA3" w:rsidTr="00012608">
        <w:trPr>
          <w:jc w:val="center"/>
        </w:trPr>
        <w:tc>
          <w:tcPr>
            <w:tcW w:w="520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3.</w:t>
            </w:r>
          </w:p>
        </w:tc>
        <w:tc>
          <w:tcPr>
            <w:tcW w:w="3841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Grupa mjera EE3</w:t>
            </w:r>
          </w:p>
        </w:tc>
        <w:tc>
          <w:tcPr>
            <w:tcW w:w="2571" w:type="dxa"/>
            <w:vAlign w:val="center"/>
          </w:tcPr>
          <w:p w:rsidR="00F27EBA" w:rsidRPr="00C87EA3" w:rsidRDefault="005A0A5C" w:rsidP="00B8196F">
            <w:pPr>
              <w:rPr>
                <w:sz w:val="24"/>
                <w:szCs w:val="24"/>
              </w:rPr>
            </w:pPr>
            <w:r w:rsidRPr="00F43A1D">
              <w:rPr>
                <w:sz w:val="24"/>
                <w:szCs w:val="24"/>
              </w:rPr>
              <w:t>32</w:t>
            </w:r>
            <w:r w:rsidR="00754E36" w:rsidRPr="00F43A1D">
              <w:rPr>
                <w:sz w:val="24"/>
                <w:szCs w:val="24"/>
              </w:rPr>
              <w:t xml:space="preserve"> 750</w:t>
            </w:r>
            <w:r w:rsidR="0008176B" w:rsidRPr="00F43A1D">
              <w:rPr>
                <w:sz w:val="24"/>
                <w:szCs w:val="24"/>
              </w:rPr>
              <w:t>,00</w:t>
            </w:r>
          </w:p>
        </w:tc>
        <w:tc>
          <w:tcPr>
            <w:tcW w:w="2354" w:type="dxa"/>
          </w:tcPr>
          <w:p w:rsidR="00F27EBA" w:rsidRPr="00C87EA3" w:rsidRDefault="0008176B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EBA">
              <w:rPr>
                <w:sz w:val="24"/>
                <w:szCs w:val="24"/>
              </w:rPr>
              <w:t xml:space="preserve"> 000,00</w:t>
            </w:r>
          </w:p>
        </w:tc>
      </w:tr>
      <w:tr w:rsidR="00F27EBA" w:rsidRPr="00C87EA3" w:rsidTr="00012608">
        <w:trPr>
          <w:jc w:val="center"/>
        </w:trPr>
        <w:tc>
          <w:tcPr>
            <w:tcW w:w="520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4.</w:t>
            </w:r>
          </w:p>
        </w:tc>
        <w:tc>
          <w:tcPr>
            <w:tcW w:w="3841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Grupa mjera EE4</w:t>
            </w:r>
          </w:p>
        </w:tc>
        <w:tc>
          <w:tcPr>
            <w:tcW w:w="2571" w:type="dxa"/>
            <w:vAlign w:val="center"/>
          </w:tcPr>
          <w:p w:rsidR="00F27EBA" w:rsidRPr="00C87EA3" w:rsidRDefault="00F43A1D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4E36">
              <w:rPr>
                <w:sz w:val="24"/>
                <w:szCs w:val="24"/>
              </w:rPr>
              <w:t>5 000</w:t>
            </w:r>
            <w:r w:rsidR="0008176B">
              <w:rPr>
                <w:sz w:val="24"/>
                <w:szCs w:val="24"/>
              </w:rPr>
              <w:t>,00</w:t>
            </w:r>
          </w:p>
        </w:tc>
        <w:tc>
          <w:tcPr>
            <w:tcW w:w="2354" w:type="dxa"/>
          </w:tcPr>
          <w:p w:rsidR="00F27EBA" w:rsidRPr="00C87EA3" w:rsidRDefault="0008176B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EBA" w:rsidRPr="00C87EA3" w:rsidTr="00012608">
        <w:trPr>
          <w:jc w:val="center"/>
        </w:trPr>
        <w:tc>
          <w:tcPr>
            <w:tcW w:w="520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5.</w:t>
            </w:r>
          </w:p>
        </w:tc>
        <w:tc>
          <w:tcPr>
            <w:tcW w:w="3841" w:type="dxa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Grupa mjera EE5</w:t>
            </w:r>
          </w:p>
        </w:tc>
        <w:tc>
          <w:tcPr>
            <w:tcW w:w="2571" w:type="dxa"/>
            <w:vAlign w:val="center"/>
          </w:tcPr>
          <w:p w:rsidR="00F27EBA" w:rsidRPr="00C87EA3" w:rsidRDefault="00754E36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  <w:r w:rsidR="0008176B">
              <w:rPr>
                <w:sz w:val="24"/>
                <w:szCs w:val="24"/>
              </w:rPr>
              <w:t>,00</w:t>
            </w:r>
          </w:p>
        </w:tc>
        <w:tc>
          <w:tcPr>
            <w:tcW w:w="2354" w:type="dxa"/>
          </w:tcPr>
          <w:p w:rsidR="00F27EBA" w:rsidRPr="00C87EA3" w:rsidRDefault="0008176B" w:rsidP="00B8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7EBA">
              <w:rPr>
                <w:sz w:val="24"/>
                <w:szCs w:val="24"/>
              </w:rPr>
              <w:t xml:space="preserve"> 000,00</w:t>
            </w:r>
          </w:p>
        </w:tc>
      </w:tr>
      <w:tr w:rsidR="00F27EBA" w:rsidRPr="00C87EA3" w:rsidTr="00012608">
        <w:trPr>
          <w:jc w:val="center"/>
        </w:trPr>
        <w:tc>
          <w:tcPr>
            <w:tcW w:w="4361" w:type="dxa"/>
            <w:gridSpan w:val="2"/>
            <w:vAlign w:val="center"/>
          </w:tcPr>
          <w:p w:rsidR="00F27EBA" w:rsidRPr="00C87EA3" w:rsidRDefault="00F27EBA" w:rsidP="00B8196F">
            <w:pPr>
              <w:rPr>
                <w:sz w:val="24"/>
                <w:szCs w:val="24"/>
              </w:rPr>
            </w:pPr>
            <w:r w:rsidRPr="00C87EA3">
              <w:rPr>
                <w:sz w:val="24"/>
                <w:szCs w:val="24"/>
              </w:rPr>
              <w:t>UKU</w:t>
            </w:r>
            <w:r>
              <w:rPr>
                <w:sz w:val="24"/>
                <w:szCs w:val="24"/>
              </w:rPr>
              <w:t>P</w:t>
            </w:r>
            <w:r w:rsidRPr="00C87EA3">
              <w:rPr>
                <w:sz w:val="24"/>
                <w:szCs w:val="24"/>
              </w:rPr>
              <w:t>NO:</w:t>
            </w:r>
          </w:p>
        </w:tc>
        <w:tc>
          <w:tcPr>
            <w:tcW w:w="2571" w:type="dxa"/>
            <w:vAlign w:val="center"/>
          </w:tcPr>
          <w:p w:rsidR="00F27EBA" w:rsidRPr="00226249" w:rsidRDefault="005A0A5C" w:rsidP="00FA1A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190 450,00</w:t>
            </w:r>
          </w:p>
        </w:tc>
        <w:tc>
          <w:tcPr>
            <w:tcW w:w="2354" w:type="dxa"/>
          </w:tcPr>
          <w:p w:rsidR="00F27EBA" w:rsidRDefault="0008176B" w:rsidP="0022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249">
              <w:rPr>
                <w:sz w:val="24"/>
                <w:szCs w:val="24"/>
              </w:rPr>
              <w:t>3</w:t>
            </w:r>
            <w:r w:rsidR="00F27EBA">
              <w:rPr>
                <w:sz w:val="24"/>
                <w:szCs w:val="24"/>
              </w:rPr>
              <w:t xml:space="preserve"> 000,00</w:t>
            </w:r>
          </w:p>
        </w:tc>
      </w:tr>
    </w:tbl>
    <w:p w:rsidR="006C4E72" w:rsidRDefault="006C4E72" w:rsidP="006C4E72">
      <w:pPr>
        <w:ind w:firstLine="426"/>
        <w:jc w:val="both"/>
        <w:rPr>
          <w:sz w:val="24"/>
          <w:szCs w:val="24"/>
        </w:rPr>
      </w:pPr>
    </w:p>
    <w:p w:rsidR="00181819" w:rsidRDefault="00181819" w:rsidP="006C4E72">
      <w:pPr>
        <w:ind w:firstLine="426"/>
        <w:jc w:val="both"/>
        <w:rPr>
          <w:sz w:val="24"/>
          <w:szCs w:val="24"/>
        </w:rPr>
      </w:pPr>
      <w:r w:rsidRPr="00110BA7">
        <w:rPr>
          <w:sz w:val="24"/>
          <w:szCs w:val="24"/>
        </w:rPr>
        <w:t xml:space="preserve">Proračun očekivanih ušteda u pogledu troškova je vršen grubom </w:t>
      </w:r>
      <w:r w:rsidR="00110BA7">
        <w:rPr>
          <w:sz w:val="24"/>
          <w:szCs w:val="24"/>
        </w:rPr>
        <w:t xml:space="preserve">procjenom </w:t>
      </w:r>
      <w:r w:rsidRPr="00110BA7">
        <w:rPr>
          <w:sz w:val="24"/>
          <w:szCs w:val="24"/>
        </w:rPr>
        <w:t xml:space="preserve"> obzirom da ne postoje relavenatne studije i </w:t>
      </w:r>
      <w:r w:rsidR="00110BA7" w:rsidRPr="00110BA7">
        <w:rPr>
          <w:sz w:val="24"/>
          <w:szCs w:val="24"/>
        </w:rPr>
        <w:t xml:space="preserve">detaljni </w:t>
      </w:r>
      <w:r w:rsidRPr="00110BA7">
        <w:rPr>
          <w:sz w:val="24"/>
          <w:szCs w:val="24"/>
        </w:rPr>
        <w:t>energetski pregledi sistema čija izrada se planira u narednom periodu.</w:t>
      </w:r>
    </w:p>
    <w:p w:rsidR="00E036C0" w:rsidRPr="00E036C0" w:rsidRDefault="00E036C0" w:rsidP="00E036C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36C0">
        <w:rPr>
          <w:b/>
          <w:sz w:val="24"/>
          <w:szCs w:val="24"/>
        </w:rPr>
        <w:t>Finansijski plan</w:t>
      </w:r>
    </w:p>
    <w:p w:rsidR="00E036C0" w:rsidRDefault="00E036C0" w:rsidP="00E036C0">
      <w:pPr>
        <w:pStyle w:val="ListParagraph"/>
        <w:ind w:left="0" w:firstLine="426"/>
        <w:jc w:val="both"/>
        <w:rPr>
          <w:sz w:val="24"/>
          <w:szCs w:val="24"/>
        </w:rPr>
      </w:pPr>
      <w:r w:rsidRPr="00E036C0">
        <w:rPr>
          <w:sz w:val="24"/>
          <w:szCs w:val="24"/>
        </w:rPr>
        <w:t>Procjenjeni troškovi su usklađen</w:t>
      </w:r>
      <w:r w:rsidR="000F4095">
        <w:rPr>
          <w:sz w:val="24"/>
          <w:szCs w:val="24"/>
        </w:rPr>
        <w:t>i</w:t>
      </w:r>
      <w:r w:rsidRPr="00E036C0">
        <w:rPr>
          <w:sz w:val="24"/>
          <w:szCs w:val="24"/>
        </w:rPr>
        <w:t xml:space="preserve"> sa predviđenim i odobrenim projektima koji su planirani da se realizuju u toku 2017. godine., predviđenim Budžetom Opštine, kao i sredstvima za koja osnovano očekujemo da će bit</w:t>
      </w:r>
      <w:r w:rsidR="005A0A5C">
        <w:rPr>
          <w:sz w:val="24"/>
          <w:szCs w:val="24"/>
        </w:rPr>
        <w:t xml:space="preserve">i odobrena od strane EU fondova i realizovana u ovoj godini. </w:t>
      </w:r>
      <w:r>
        <w:rPr>
          <w:sz w:val="24"/>
          <w:szCs w:val="24"/>
        </w:rPr>
        <w:t xml:space="preserve"> Tabela </w:t>
      </w:r>
      <w:r w:rsidR="006E2F5D">
        <w:rPr>
          <w:sz w:val="24"/>
          <w:szCs w:val="24"/>
        </w:rPr>
        <w:t>prikazuje izvore finansiranja za realizaciju Plana.</w:t>
      </w:r>
    </w:p>
    <w:p w:rsidR="00F27EBA" w:rsidRDefault="00F27EBA" w:rsidP="00E036C0">
      <w:pPr>
        <w:pStyle w:val="ListParagraph"/>
        <w:ind w:left="0" w:firstLine="426"/>
        <w:jc w:val="both"/>
        <w:rPr>
          <w:sz w:val="24"/>
          <w:szCs w:val="24"/>
        </w:rPr>
      </w:pPr>
    </w:p>
    <w:p w:rsidR="00A24A91" w:rsidRPr="00A24A91" w:rsidRDefault="00A24A91" w:rsidP="00E036C0">
      <w:pPr>
        <w:pStyle w:val="ListParagraph"/>
        <w:ind w:left="0" w:firstLine="426"/>
        <w:jc w:val="both"/>
        <w:rPr>
          <w:b/>
          <w:sz w:val="24"/>
          <w:szCs w:val="24"/>
        </w:rPr>
      </w:pPr>
      <w:r w:rsidRPr="00A24A91">
        <w:rPr>
          <w:b/>
          <w:sz w:val="24"/>
          <w:szCs w:val="24"/>
        </w:rPr>
        <w:t>Tabela 5.1 Predviđena/očekivana sredstva za realizaciju Plana</w:t>
      </w:r>
      <w:r w:rsidR="00E95D15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642"/>
      </w:tblGrid>
      <w:tr w:rsidR="00F27EBA" w:rsidTr="00B8196F">
        <w:tc>
          <w:tcPr>
            <w:tcW w:w="81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382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 finansiranja</w:t>
            </w:r>
          </w:p>
        </w:tc>
        <w:tc>
          <w:tcPr>
            <w:tcW w:w="4642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izvora (</w:t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)</w:t>
            </w:r>
          </w:p>
        </w:tc>
      </w:tr>
      <w:tr w:rsidR="00F27EBA" w:rsidTr="00B8196F">
        <w:tc>
          <w:tcPr>
            <w:tcW w:w="81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fondovi</w:t>
            </w:r>
          </w:p>
        </w:tc>
        <w:tc>
          <w:tcPr>
            <w:tcW w:w="4642" w:type="dxa"/>
          </w:tcPr>
          <w:p w:rsidR="00F27EBA" w:rsidRDefault="00F43A1D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273F">
              <w:rPr>
                <w:sz w:val="24"/>
                <w:szCs w:val="24"/>
              </w:rPr>
              <w:t>20 000</w:t>
            </w:r>
            <w:r>
              <w:rPr>
                <w:sz w:val="24"/>
                <w:szCs w:val="24"/>
              </w:rPr>
              <w:t>,00</w:t>
            </w:r>
            <w:r w:rsidR="009B273F">
              <w:rPr>
                <w:sz w:val="24"/>
                <w:szCs w:val="24"/>
              </w:rPr>
              <w:t>*</w:t>
            </w:r>
          </w:p>
        </w:tc>
      </w:tr>
      <w:tr w:rsidR="00F27EBA" w:rsidTr="00B8196F">
        <w:tc>
          <w:tcPr>
            <w:tcW w:w="81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lokalne samouprave</w:t>
            </w:r>
          </w:p>
        </w:tc>
        <w:tc>
          <w:tcPr>
            <w:tcW w:w="4642" w:type="dxa"/>
          </w:tcPr>
          <w:p w:rsidR="00F27EBA" w:rsidRDefault="00226249" w:rsidP="005A0A5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0A5C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30</w:t>
            </w:r>
            <w:r w:rsidR="00233CC9">
              <w:rPr>
                <w:sz w:val="24"/>
                <w:szCs w:val="24"/>
              </w:rPr>
              <w:t>0</w:t>
            </w:r>
            <w:r w:rsidR="00F27EBA">
              <w:rPr>
                <w:sz w:val="24"/>
                <w:szCs w:val="24"/>
              </w:rPr>
              <w:t>,00</w:t>
            </w:r>
          </w:p>
        </w:tc>
      </w:tr>
      <w:tr w:rsidR="00F27EBA" w:rsidTr="00B8196F">
        <w:tc>
          <w:tcPr>
            <w:tcW w:w="81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 javnih preduzeća</w:t>
            </w:r>
          </w:p>
        </w:tc>
        <w:tc>
          <w:tcPr>
            <w:tcW w:w="4642" w:type="dxa"/>
          </w:tcPr>
          <w:p w:rsidR="00F27EBA" w:rsidRDefault="00F43A1D" w:rsidP="00FA1A2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7EBA">
              <w:rPr>
                <w:sz w:val="24"/>
                <w:szCs w:val="24"/>
              </w:rPr>
              <w:t>7</w:t>
            </w:r>
            <w:r w:rsidR="00FA1A23">
              <w:rPr>
                <w:sz w:val="24"/>
                <w:szCs w:val="24"/>
              </w:rPr>
              <w:t>8</w:t>
            </w:r>
            <w:r w:rsidR="0008176B">
              <w:rPr>
                <w:sz w:val="24"/>
                <w:szCs w:val="24"/>
              </w:rPr>
              <w:t xml:space="preserve"> </w:t>
            </w:r>
            <w:r w:rsidR="00FA1A23">
              <w:rPr>
                <w:sz w:val="24"/>
                <w:szCs w:val="24"/>
              </w:rPr>
              <w:t>9</w:t>
            </w:r>
            <w:r w:rsidR="00F27EBA">
              <w:rPr>
                <w:sz w:val="24"/>
                <w:szCs w:val="24"/>
              </w:rPr>
              <w:t>00,00</w:t>
            </w:r>
          </w:p>
        </w:tc>
      </w:tr>
      <w:tr w:rsidR="00F27EBA" w:rsidTr="00B8196F">
        <w:tc>
          <w:tcPr>
            <w:tcW w:w="81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7EBA" w:rsidRDefault="00F27EBA" w:rsidP="00B81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4642" w:type="dxa"/>
          </w:tcPr>
          <w:p w:rsidR="00F27EBA" w:rsidRPr="00226249" w:rsidRDefault="005A0A5C" w:rsidP="00226249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43A1D">
              <w:rPr>
                <w:b/>
                <w:sz w:val="24"/>
                <w:szCs w:val="24"/>
              </w:rPr>
              <w:t>214</w:t>
            </w:r>
            <w:r w:rsidR="00233CC9" w:rsidRPr="00F43A1D">
              <w:rPr>
                <w:b/>
                <w:sz w:val="24"/>
                <w:szCs w:val="24"/>
              </w:rPr>
              <w:t xml:space="preserve"> </w:t>
            </w:r>
            <w:r w:rsidR="00226249" w:rsidRPr="00F43A1D">
              <w:rPr>
                <w:b/>
                <w:sz w:val="24"/>
                <w:szCs w:val="24"/>
              </w:rPr>
              <w:t>20</w:t>
            </w:r>
            <w:r w:rsidR="00F27EBA" w:rsidRPr="00F43A1D">
              <w:rPr>
                <w:b/>
                <w:sz w:val="24"/>
                <w:szCs w:val="24"/>
              </w:rPr>
              <w:t>0,00</w:t>
            </w:r>
          </w:p>
        </w:tc>
      </w:tr>
    </w:tbl>
    <w:p w:rsidR="005A0A5C" w:rsidRPr="005A0A5C" w:rsidRDefault="003E0EC3" w:rsidP="005A0A5C">
      <w:pPr>
        <w:jc w:val="both"/>
        <w:rPr>
          <w:sz w:val="24"/>
          <w:szCs w:val="24"/>
        </w:rPr>
      </w:pPr>
      <w:r>
        <w:rPr>
          <w:sz w:val="24"/>
          <w:szCs w:val="24"/>
        </w:rPr>
        <w:t>*N</w:t>
      </w:r>
      <w:r w:rsidR="005A0A5C">
        <w:rPr>
          <w:sz w:val="24"/>
          <w:szCs w:val="24"/>
        </w:rPr>
        <w:t>avedeni iznos od 20 000,00 eura jes</w:t>
      </w:r>
      <w:r>
        <w:rPr>
          <w:sz w:val="24"/>
          <w:szCs w:val="24"/>
        </w:rPr>
        <w:t xml:space="preserve">u sredstva koja se očekuju iskoristiti u ovoj godini za potrebe unapredjenja energetskog menadžmenta, a </w:t>
      </w:r>
      <w:r w:rsidR="005A0A5C">
        <w:rPr>
          <w:sz w:val="24"/>
          <w:szCs w:val="24"/>
        </w:rPr>
        <w:t xml:space="preserve"> dio</w:t>
      </w:r>
      <w:r>
        <w:rPr>
          <w:sz w:val="24"/>
          <w:szCs w:val="24"/>
        </w:rPr>
        <w:t xml:space="preserve"> su</w:t>
      </w:r>
      <w:r w:rsidR="005A0A5C">
        <w:rPr>
          <w:sz w:val="24"/>
          <w:szCs w:val="24"/>
        </w:rPr>
        <w:t xml:space="preserve"> </w:t>
      </w:r>
      <w:r>
        <w:rPr>
          <w:sz w:val="24"/>
          <w:szCs w:val="24"/>
        </w:rPr>
        <w:t>ukupnog iznosa</w:t>
      </w:r>
      <w:r w:rsidR="005A0A5C">
        <w:rPr>
          <w:sz w:val="24"/>
          <w:szCs w:val="24"/>
        </w:rPr>
        <w:t xml:space="preserve"> od 320 000,00 eura koliko iznosi medjunarodni grant za potrebe sprovodjenja projekta IRENE, koji projekat će se realizovati u periodu 2016-2019 godina.</w:t>
      </w:r>
    </w:p>
    <w:p w:rsidR="006E2F5D" w:rsidRDefault="006E2F5D" w:rsidP="00F27EBA">
      <w:pPr>
        <w:pStyle w:val="ListParagraph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sredstva koja su potrebna za realizaciju Plana iznose </w:t>
      </w:r>
      <w:r w:rsidR="005A0A5C">
        <w:rPr>
          <w:b/>
          <w:sz w:val="24"/>
          <w:szCs w:val="24"/>
        </w:rPr>
        <w:t>190 450</w:t>
      </w:r>
      <w:r w:rsidRPr="006E2F5D">
        <w:rPr>
          <w:b/>
          <w:sz w:val="24"/>
          <w:szCs w:val="24"/>
        </w:rPr>
        <w:t xml:space="preserve">,00 </w:t>
      </w:r>
      <w:r w:rsidRPr="006E2F5D">
        <w:rPr>
          <w:rFonts w:cstheme="minorHAnsi"/>
          <w:b/>
          <w:sz w:val="24"/>
          <w:szCs w:val="24"/>
        </w:rPr>
        <w:t>€</w:t>
      </w:r>
      <w:r w:rsidRPr="006E2F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35DF" w:rsidRDefault="002D2180" w:rsidP="00E036C0">
      <w:pPr>
        <w:pStyle w:val="ListParagraph"/>
        <w:ind w:left="0" w:firstLine="426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Očekivani iznos sredstava koja će se koristiti za implementaciju plana </w:t>
      </w:r>
      <w:r w:rsidR="00DB35DF">
        <w:rPr>
          <w:sz w:val="24"/>
          <w:szCs w:val="24"/>
        </w:rPr>
        <w:t xml:space="preserve">za 2017-tu godinu </w:t>
      </w:r>
      <w:r>
        <w:rPr>
          <w:sz w:val="24"/>
          <w:szCs w:val="24"/>
        </w:rPr>
        <w:t xml:space="preserve">iznose </w:t>
      </w:r>
      <w:r w:rsidR="005A0A5C">
        <w:rPr>
          <w:b/>
          <w:sz w:val="24"/>
          <w:szCs w:val="24"/>
        </w:rPr>
        <w:t>214 200,</w:t>
      </w:r>
      <w:r w:rsidRPr="002D2180">
        <w:rPr>
          <w:b/>
          <w:sz w:val="24"/>
          <w:szCs w:val="24"/>
        </w:rPr>
        <w:t>00</w:t>
      </w:r>
      <w:r w:rsidRPr="002D2180">
        <w:rPr>
          <w:rFonts w:cstheme="minorHAnsi"/>
          <w:b/>
          <w:sz w:val="24"/>
          <w:szCs w:val="24"/>
        </w:rPr>
        <w:t>€</w:t>
      </w:r>
      <w:r w:rsidR="00174C12">
        <w:rPr>
          <w:rFonts w:cstheme="minorHAnsi"/>
          <w:b/>
          <w:sz w:val="24"/>
          <w:szCs w:val="24"/>
        </w:rPr>
        <w:t>.</w:t>
      </w:r>
    </w:p>
    <w:p w:rsidR="00F43A1D" w:rsidRDefault="00F43A1D" w:rsidP="00E036C0">
      <w:pPr>
        <w:pStyle w:val="ListParagraph"/>
        <w:ind w:left="0" w:firstLine="426"/>
        <w:jc w:val="both"/>
        <w:rPr>
          <w:rFonts w:cstheme="minorHAnsi"/>
          <w:b/>
          <w:sz w:val="24"/>
          <w:szCs w:val="24"/>
        </w:rPr>
      </w:pPr>
    </w:p>
    <w:p w:rsidR="00DB35DF" w:rsidRPr="00DB35DF" w:rsidRDefault="00DB35DF" w:rsidP="00E036C0">
      <w:pPr>
        <w:pStyle w:val="ListParagraph"/>
        <w:ind w:left="0" w:firstLine="426"/>
        <w:jc w:val="both"/>
        <w:rPr>
          <w:rFonts w:cstheme="minorHAnsi"/>
          <w:sz w:val="24"/>
          <w:szCs w:val="24"/>
        </w:rPr>
      </w:pPr>
      <w:r w:rsidRPr="00DB35DF">
        <w:rPr>
          <w:rFonts w:cstheme="minorHAnsi"/>
          <w:sz w:val="24"/>
          <w:szCs w:val="24"/>
        </w:rPr>
        <w:t xml:space="preserve">Obradio ,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DB35DF">
        <w:rPr>
          <w:rFonts w:cstheme="minorHAnsi"/>
          <w:sz w:val="24"/>
          <w:szCs w:val="24"/>
        </w:rPr>
        <w:t xml:space="preserve">    Sekretar,</w:t>
      </w:r>
    </w:p>
    <w:p w:rsidR="00DB35DF" w:rsidRPr="00DB35DF" w:rsidRDefault="00DB35DF" w:rsidP="00E036C0">
      <w:pPr>
        <w:pStyle w:val="ListParagraph"/>
        <w:ind w:left="0" w:firstLine="426"/>
        <w:jc w:val="both"/>
        <w:rPr>
          <w:rFonts w:cstheme="minorHAnsi"/>
          <w:sz w:val="24"/>
          <w:szCs w:val="24"/>
        </w:rPr>
      </w:pPr>
      <w:r w:rsidRPr="00DB35DF">
        <w:rPr>
          <w:rFonts w:cstheme="minorHAnsi"/>
          <w:sz w:val="24"/>
          <w:szCs w:val="24"/>
        </w:rPr>
        <w:t xml:space="preserve">Savjetnik za energetsku efikasnost                   </w:t>
      </w:r>
      <w:r>
        <w:rPr>
          <w:rFonts w:cstheme="minorHAnsi"/>
          <w:sz w:val="24"/>
          <w:szCs w:val="24"/>
        </w:rPr>
        <w:t xml:space="preserve">            </w:t>
      </w:r>
      <w:r w:rsidRPr="00DB35DF">
        <w:rPr>
          <w:rFonts w:cstheme="minorHAnsi"/>
          <w:sz w:val="24"/>
          <w:szCs w:val="24"/>
        </w:rPr>
        <w:t xml:space="preserve">  Tatjana Jelić, dipl.pravnik</w:t>
      </w:r>
    </w:p>
    <w:p w:rsidR="00181819" w:rsidRDefault="00DB35DF" w:rsidP="00012608">
      <w:pPr>
        <w:pStyle w:val="ListParagraph"/>
        <w:ind w:left="0" w:firstLine="426"/>
        <w:jc w:val="both"/>
        <w:rPr>
          <w:sz w:val="24"/>
          <w:szCs w:val="24"/>
        </w:rPr>
      </w:pPr>
      <w:r w:rsidRPr="00DB35DF">
        <w:rPr>
          <w:rFonts w:cstheme="minorHAnsi"/>
          <w:sz w:val="24"/>
          <w:szCs w:val="24"/>
        </w:rPr>
        <w:t>Marinko Terzić, dipl.ing.el.</w:t>
      </w:r>
    </w:p>
    <w:sectPr w:rsidR="00181819" w:rsidSect="00770E4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A9" w:rsidRDefault="000B75A9" w:rsidP="00A36E0F">
      <w:pPr>
        <w:spacing w:after="0" w:line="240" w:lineRule="auto"/>
      </w:pPr>
      <w:r>
        <w:separator/>
      </w:r>
    </w:p>
  </w:endnote>
  <w:endnote w:type="continuationSeparator" w:id="0">
    <w:p w:rsidR="000B75A9" w:rsidRDefault="000B75A9" w:rsidP="00A3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09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249" w:rsidRDefault="00226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249" w:rsidRDefault="0022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A9" w:rsidRDefault="000B75A9" w:rsidP="00A36E0F">
      <w:pPr>
        <w:spacing w:after="0" w:line="240" w:lineRule="auto"/>
      </w:pPr>
      <w:r>
        <w:separator/>
      </w:r>
    </w:p>
  </w:footnote>
  <w:footnote w:type="continuationSeparator" w:id="0">
    <w:p w:rsidR="000B75A9" w:rsidRDefault="000B75A9" w:rsidP="00A3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93"/>
    <w:multiLevelType w:val="hybridMultilevel"/>
    <w:tmpl w:val="2DEC2E44"/>
    <w:lvl w:ilvl="0" w:tplc="2C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620D2"/>
    <w:multiLevelType w:val="hybridMultilevel"/>
    <w:tmpl w:val="B400043C"/>
    <w:lvl w:ilvl="0" w:tplc="7116CA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2CB1"/>
    <w:multiLevelType w:val="hybridMultilevel"/>
    <w:tmpl w:val="6742C4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52EE"/>
    <w:multiLevelType w:val="hybridMultilevel"/>
    <w:tmpl w:val="1B04BE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4106"/>
    <w:multiLevelType w:val="hybridMultilevel"/>
    <w:tmpl w:val="523E8E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16D0"/>
    <w:multiLevelType w:val="hybridMultilevel"/>
    <w:tmpl w:val="8AFA1F6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7714"/>
    <w:multiLevelType w:val="hybridMultilevel"/>
    <w:tmpl w:val="E9864F66"/>
    <w:lvl w:ilvl="0" w:tplc="111A6A7E">
      <w:start w:val="214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855577"/>
    <w:multiLevelType w:val="hybridMultilevel"/>
    <w:tmpl w:val="DF267490"/>
    <w:lvl w:ilvl="0" w:tplc="2C1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4B057EA"/>
    <w:multiLevelType w:val="hybridMultilevel"/>
    <w:tmpl w:val="A2F29236"/>
    <w:lvl w:ilvl="0" w:tplc="70108360">
      <w:start w:val="21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99656B9"/>
    <w:multiLevelType w:val="hybridMultilevel"/>
    <w:tmpl w:val="68C6DB64"/>
    <w:lvl w:ilvl="0" w:tplc="2C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D68D0"/>
    <w:multiLevelType w:val="multilevel"/>
    <w:tmpl w:val="834A1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6147231A"/>
    <w:multiLevelType w:val="hybridMultilevel"/>
    <w:tmpl w:val="2C38CFB2"/>
    <w:lvl w:ilvl="0" w:tplc="2C1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7CE1203"/>
    <w:multiLevelType w:val="multilevel"/>
    <w:tmpl w:val="43600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64612A"/>
    <w:multiLevelType w:val="hybridMultilevel"/>
    <w:tmpl w:val="B810E60E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6F51CE"/>
    <w:multiLevelType w:val="hybridMultilevel"/>
    <w:tmpl w:val="522A64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C"/>
    <w:rsid w:val="00012608"/>
    <w:rsid w:val="0002195B"/>
    <w:rsid w:val="000617C1"/>
    <w:rsid w:val="000710CA"/>
    <w:rsid w:val="00077E99"/>
    <w:rsid w:val="0008176B"/>
    <w:rsid w:val="000B2585"/>
    <w:rsid w:val="000B75A9"/>
    <w:rsid w:val="000D600C"/>
    <w:rsid w:val="000E0D7A"/>
    <w:rsid w:val="000E54A2"/>
    <w:rsid w:val="000F4095"/>
    <w:rsid w:val="00110BA7"/>
    <w:rsid w:val="00134010"/>
    <w:rsid w:val="00142342"/>
    <w:rsid w:val="00174C12"/>
    <w:rsid w:val="00181819"/>
    <w:rsid w:val="001B2352"/>
    <w:rsid w:val="001C48D3"/>
    <w:rsid w:val="00226249"/>
    <w:rsid w:val="00233CC9"/>
    <w:rsid w:val="00241B09"/>
    <w:rsid w:val="00267B6B"/>
    <w:rsid w:val="002A7B29"/>
    <w:rsid w:val="002D2180"/>
    <w:rsid w:val="00342CEF"/>
    <w:rsid w:val="0036125B"/>
    <w:rsid w:val="003C22D5"/>
    <w:rsid w:val="003C41D6"/>
    <w:rsid w:val="003E0EC3"/>
    <w:rsid w:val="00451BE4"/>
    <w:rsid w:val="00454A3B"/>
    <w:rsid w:val="0048649E"/>
    <w:rsid w:val="004A212C"/>
    <w:rsid w:val="004F20A0"/>
    <w:rsid w:val="005008B4"/>
    <w:rsid w:val="00531634"/>
    <w:rsid w:val="00542792"/>
    <w:rsid w:val="00554D0C"/>
    <w:rsid w:val="005641D0"/>
    <w:rsid w:val="005A0A5C"/>
    <w:rsid w:val="005C01B7"/>
    <w:rsid w:val="005F412A"/>
    <w:rsid w:val="00613853"/>
    <w:rsid w:val="00627874"/>
    <w:rsid w:val="006B111E"/>
    <w:rsid w:val="006C4E72"/>
    <w:rsid w:val="006C558A"/>
    <w:rsid w:val="006C6DBC"/>
    <w:rsid w:val="006E2F5D"/>
    <w:rsid w:val="006F3E6F"/>
    <w:rsid w:val="006F53E8"/>
    <w:rsid w:val="007015C6"/>
    <w:rsid w:val="00754E36"/>
    <w:rsid w:val="00755333"/>
    <w:rsid w:val="00757259"/>
    <w:rsid w:val="00770E4C"/>
    <w:rsid w:val="00784486"/>
    <w:rsid w:val="008400B8"/>
    <w:rsid w:val="00861DCC"/>
    <w:rsid w:val="008E7BAE"/>
    <w:rsid w:val="00944F58"/>
    <w:rsid w:val="00957B9B"/>
    <w:rsid w:val="0099272A"/>
    <w:rsid w:val="009B273F"/>
    <w:rsid w:val="009E6835"/>
    <w:rsid w:val="009F76D9"/>
    <w:rsid w:val="009F7717"/>
    <w:rsid w:val="00A204C2"/>
    <w:rsid w:val="00A2392C"/>
    <w:rsid w:val="00A2419B"/>
    <w:rsid w:val="00A24A91"/>
    <w:rsid w:val="00A36E0F"/>
    <w:rsid w:val="00A439E7"/>
    <w:rsid w:val="00A558C8"/>
    <w:rsid w:val="00A92161"/>
    <w:rsid w:val="00AE5C22"/>
    <w:rsid w:val="00B05DC0"/>
    <w:rsid w:val="00B4325C"/>
    <w:rsid w:val="00B6346C"/>
    <w:rsid w:val="00B7761B"/>
    <w:rsid w:val="00B7771A"/>
    <w:rsid w:val="00B8196F"/>
    <w:rsid w:val="00BA6904"/>
    <w:rsid w:val="00BB52E9"/>
    <w:rsid w:val="00BB6FEF"/>
    <w:rsid w:val="00C201F1"/>
    <w:rsid w:val="00C50EA4"/>
    <w:rsid w:val="00C87EA3"/>
    <w:rsid w:val="00C91A00"/>
    <w:rsid w:val="00CA34A9"/>
    <w:rsid w:val="00CC7614"/>
    <w:rsid w:val="00D34962"/>
    <w:rsid w:val="00D84AB8"/>
    <w:rsid w:val="00D976C9"/>
    <w:rsid w:val="00DB35DF"/>
    <w:rsid w:val="00DC2984"/>
    <w:rsid w:val="00DE7EFF"/>
    <w:rsid w:val="00E036C0"/>
    <w:rsid w:val="00E11F95"/>
    <w:rsid w:val="00E227A6"/>
    <w:rsid w:val="00E2365E"/>
    <w:rsid w:val="00E95D15"/>
    <w:rsid w:val="00E97FA2"/>
    <w:rsid w:val="00EC01CA"/>
    <w:rsid w:val="00EC0EBE"/>
    <w:rsid w:val="00F27EBA"/>
    <w:rsid w:val="00F43A1D"/>
    <w:rsid w:val="00F64669"/>
    <w:rsid w:val="00F72BCD"/>
    <w:rsid w:val="00F94B4B"/>
    <w:rsid w:val="00FA1A23"/>
    <w:rsid w:val="00FD035C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01B7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2C"/>
    <w:pPr>
      <w:ind w:left="720"/>
      <w:contextualSpacing/>
    </w:pPr>
  </w:style>
  <w:style w:type="table" w:styleId="TableGrid">
    <w:name w:val="Table Grid"/>
    <w:basedOn w:val="TableNormal"/>
    <w:uiPriority w:val="59"/>
    <w:rsid w:val="004A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0F"/>
  </w:style>
  <w:style w:type="paragraph" w:styleId="Footer">
    <w:name w:val="footer"/>
    <w:basedOn w:val="Normal"/>
    <w:link w:val="FooterChar"/>
    <w:uiPriority w:val="99"/>
    <w:unhideWhenUsed/>
    <w:rsid w:val="00A3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0F"/>
  </w:style>
  <w:style w:type="character" w:customStyle="1" w:styleId="Heading2Char">
    <w:name w:val="Heading 2 Char"/>
    <w:basedOn w:val="DefaultParagraphFont"/>
    <w:link w:val="Heading2"/>
    <w:rsid w:val="005C01B7"/>
    <w:rPr>
      <w:rFonts w:ascii="Arial" w:eastAsia="Times New Roman" w:hAnsi="Arial" w:cs="Arial"/>
      <w:b/>
      <w:bCs/>
      <w:iCs/>
      <w:sz w:val="28"/>
      <w:szCs w:val="28"/>
      <w:lang w:val="en-GB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F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608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01B7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2C"/>
    <w:pPr>
      <w:ind w:left="720"/>
      <w:contextualSpacing/>
    </w:pPr>
  </w:style>
  <w:style w:type="table" w:styleId="TableGrid">
    <w:name w:val="Table Grid"/>
    <w:basedOn w:val="TableNormal"/>
    <w:uiPriority w:val="59"/>
    <w:rsid w:val="004A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0F"/>
  </w:style>
  <w:style w:type="paragraph" w:styleId="Footer">
    <w:name w:val="footer"/>
    <w:basedOn w:val="Normal"/>
    <w:link w:val="FooterChar"/>
    <w:uiPriority w:val="99"/>
    <w:unhideWhenUsed/>
    <w:rsid w:val="00A3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0F"/>
  </w:style>
  <w:style w:type="character" w:customStyle="1" w:styleId="Heading2Char">
    <w:name w:val="Heading 2 Char"/>
    <w:basedOn w:val="DefaultParagraphFont"/>
    <w:link w:val="Heading2"/>
    <w:rsid w:val="005C01B7"/>
    <w:rPr>
      <w:rFonts w:ascii="Arial" w:eastAsia="Times New Roman" w:hAnsi="Arial" w:cs="Arial"/>
      <w:b/>
      <w:bCs/>
      <w:iCs/>
      <w:sz w:val="28"/>
      <w:szCs w:val="28"/>
      <w:lang w:val="en-GB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F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608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5D28-0868-4FA8-82A9-9305BFCC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Terzic</dc:creator>
  <cp:lastModifiedBy>Ana Matijevic</cp:lastModifiedBy>
  <cp:revision>2</cp:revision>
  <cp:lastPrinted>2017-03-07T13:03:00Z</cp:lastPrinted>
  <dcterms:created xsi:type="dcterms:W3CDTF">2017-03-07T13:33:00Z</dcterms:created>
  <dcterms:modified xsi:type="dcterms:W3CDTF">2017-03-07T13:33:00Z</dcterms:modified>
</cp:coreProperties>
</file>